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Theme="majorEastAsia" w:hAnsiTheme="majorEastAsia" w:eastAsiaTheme="majorEastAsia"/>
          <w:b/>
          <w:bCs/>
          <w:sz w:val="36"/>
          <w:szCs w:val="36"/>
        </w:rPr>
      </w:pPr>
    </w:p>
    <w:p>
      <w:pPr>
        <w:widowControl/>
        <w:spacing w:line="360" w:lineRule="auto"/>
        <w:jc w:val="center"/>
        <w:rPr>
          <w:rFonts w:hint="eastAsia" w:ascii="宋体" w:hAnsi="宋体"/>
          <w:b/>
          <w:kern w:val="0"/>
          <w:sz w:val="36"/>
          <w:szCs w:val="36"/>
        </w:rPr>
      </w:pPr>
      <w:bookmarkStart w:id="0" w:name="_Hlk73121566"/>
      <w:r>
        <w:rPr>
          <w:rFonts w:hint="eastAsia" w:ascii="宋体" w:hAnsi="宋体"/>
          <w:b/>
          <w:kern w:val="0"/>
          <w:sz w:val="36"/>
          <w:szCs w:val="36"/>
        </w:rPr>
        <w:t>南京旅游职业学院融合现实数字文旅实训室</w:t>
      </w:r>
    </w:p>
    <w:p>
      <w:pPr>
        <w:widowControl/>
        <w:spacing w:line="360" w:lineRule="auto"/>
        <w:jc w:val="center"/>
        <w:rPr>
          <w:rFonts w:ascii="宋体" w:hAnsi="宋体"/>
          <w:b/>
          <w:kern w:val="0"/>
          <w:sz w:val="36"/>
          <w:szCs w:val="36"/>
        </w:rPr>
      </w:pPr>
      <w:r>
        <w:rPr>
          <w:rFonts w:hint="eastAsia" w:ascii="宋体" w:hAnsi="宋体"/>
          <w:b/>
          <w:kern w:val="0"/>
          <w:sz w:val="36"/>
          <w:szCs w:val="36"/>
        </w:rPr>
        <w:t>设备采购项目</w:t>
      </w:r>
    </w:p>
    <w:bookmarkEnd w:id="0"/>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pStyle w:val="22"/>
        <w:ind w:left="1260"/>
      </w:pPr>
    </w:p>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r>
        <w:rPr>
          <w:rFonts w:hint="eastAsia" w:ascii="宋体" w:hAnsi="宋体"/>
          <w:b/>
          <w:kern w:val="0"/>
          <w:sz w:val="36"/>
          <w:szCs w:val="36"/>
        </w:rPr>
        <w:t>公开招标文件</w:t>
      </w: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r>
        <w:rPr>
          <w:rFonts w:hint="eastAsia" w:ascii="宋体" w:hAnsi="宋体"/>
          <w:b/>
          <w:kern w:val="0"/>
          <w:sz w:val="36"/>
          <w:szCs w:val="36"/>
        </w:rPr>
        <w:t>项目编号：JSGC23G5199</w:t>
      </w: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pStyle w:val="22"/>
        <w:ind w:left="1260"/>
      </w:pPr>
    </w:p>
    <w:p>
      <w:pPr>
        <w:widowControl/>
        <w:spacing w:line="360" w:lineRule="auto"/>
        <w:jc w:val="center"/>
        <w:rPr>
          <w:rFonts w:ascii="宋体" w:hAnsi="宋体"/>
          <w:b/>
          <w:kern w:val="0"/>
          <w:sz w:val="36"/>
          <w:szCs w:val="36"/>
        </w:rPr>
      </w:pPr>
    </w:p>
    <w:p>
      <w:pPr>
        <w:widowControl/>
        <w:spacing w:line="360" w:lineRule="auto"/>
        <w:jc w:val="center"/>
        <w:rPr>
          <w:rFonts w:ascii="宋体" w:hAnsi="宋体" w:cs="宋体"/>
          <w:b/>
          <w:bCs/>
          <w:kern w:val="0"/>
          <w:sz w:val="36"/>
          <w:szCs w:val="36"/>
        </w:rPr>
      </w:pPr>
      <w:r>
        <w:rPr>
          <w:rFonts w:hint="eastAsia" w:ascii="宋体" w:hAnsi="宋体" w:cs="宋体"/>
          <w:b/>
          <w:bCs/>
          <w:kern w:val="0"/>
          <w:sz w:val="36"/>
          <w:szCs w:val="36"/>
        </w:rPr>
        <w:t>采购人：南京旅游职业学院</w:t>
      </w:r>
    </w:p>
    <w:p>
      <w:pPr>
        <w:widowControl/>
        <w:spacing w:line="360" w:lineRule="auto"/>
        <w:jc w:val="center"/>
        <w:rPr>
          <w:rFonts w:ascii="宋体" w:hAnsi="宋体" w:cs="宋体"/>
          <w:b/>
          <w:bCs/>
          <w:kern w:val="0"/>
          <w:sz w:val="36"/>
          <w:szCs w:val="36"/>
        </w:rPr>
      </w:pPr>
      <w:r>
        <w:rPr>
          <w:rFonts w:hint="eastAsia" w:ascii="宋体" w:hAnsi="宋体" w:cs="宋体"/>
          <w:b/>
          <w:bCs/>
          <w:kern w:val="0"/>
          <w:sz w:val="36"/>
          <w:szCs w:val="36"/>
        </w:rPr>
        <w:t>采购代理机构：江苏国采工程咨询有限公司</w:t>
      </w:r>
    </w:p>
    <w:p>
      <w:pPr>
        <w:widowControl/>
        <w:spacing w:line="360" w:lineRule="auto"/>
        <w:jc w:val="center"/>
        <w:rPr>
          <w:rFonts w:ascii="宋体" w:hAnsi="宋体" w:cs="宋体"/>
          <w:b/>
          <w:bCs/>
          <w:kern w:val="0"/>
          <w:sz w:val="36"/>
          <w:szCs w:val="36"/>
        </w:rPr>
        <w:sectPr>
          <w:headerReference r:id="rId4" w:type="first"/>
          <w:footerReference r:id="rId6" w:type="first"/>
          <w:headerReference r:id="rId3" w:type="default"/>
          <w:footerReference r:id="rId5" w:type="default"/>
          <w:pgSz w:w="11906" w:h="16838"/>
          <w:pgMar w:top="1440" w:right="1440" w:bottom="1440" w:left="1440" w:header="1191" w:footer="720" w:gutter="0"/>
          <w:cols w:space="720" w:num="1"/>
          <w:titlePg/>
          <w:docGrid w:type="lines" w:linePitch="290" w:charSpace="0"/>
        </w:sectPr>
      </w:pPr>
      <w:r>
        <w:rPr>
          <w:rFonts w:hint="eastAsia" w:ascii="宋体" w:hAnsi="宋体" w:cs="宋体"/>
          <w:b/>
          <w:bCs/>
          <w:kern w:val="0"/>
          <w:sz w:val="36"/>
          <w:szCs w:val="36"/>
        </w:rPr>
        <w:t>2023年</w:t>
      </w:r>
      <w:r>
        <w:rPr>
          <w:rFonts w:hint="eastAsia" w:ascii="宋体" w:hAnsi="宋体" w:cs="宋体"/>
          <w:b/>
          <w:bCs/>
          <w:kern w:val="0"/>
          <w:sz w:val="36"/>
          <w:szCs w:val="36"/>
          <w:lang w:val="en-US" w:eastAsia="zh-CN"/>
        </w:rPr>
        <w:t>5</w:t>
      </w:r>
      <w:r>
        <w:rPr>
          <w:rFonts w:hint="eastAsia" w:ascii="宋体" w:hAnsi="宋体" w:cs="宋体"/>
          <w:b/>
          <w:bCs/>
          <w:kern w:val="0"/>
          <w:sz w:val="36"/>
          <w:szCs w:val="36"/>
        </w:rPr>
        <w:t xml:space="preserve">月 </w:t>
      </w:r>
    </w:p>
    <w:sdt>
      <w:sdtPr>
        <w:rPr>
          <w:rFonts w:ascii="Times New Roman" w:hAnsi="Times New Roman" w:eastAsia="宋体" w:cs="Times New Roman"/>
          <w:color w:val="auto"/>
          <w:kern w:val="2"/>
          <w:sz w:val="21"/>
          <w:szCs w:val="24"/>
          <w:lang w:val="zh-CN"/>
        </w:rPr>
        <w:id w:val="-142603292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91"/>
            <w:jc w:val="center"/>
            <w:rPr>
              <w:b/>
              <w:bCs/>
              <w:color w:val="auto"/>
            </w:rPr>
          </w:pPr>
          <w:r>
            <w:rPr>
              <w:b/>
              <w:bCs/>
              <w:color w:val="auto"/>
              <w:lang w:val="zh-CN"/>
            </w:rPr>
            <w:t>目</w:t>
          </w:r>
          <w:r>
            <w:rPr>
              <w:rFonts w:hint="eastAsia"/>
              <w:b/>
              <w:bCs/>
              <w:color w:val="auto"/>
              <w:lang w:val="zh-CN"/>
            </w:rPr>
            <w:t xml:space="preserve"> </w:t>
          </w:r>
          <w:r>
            <w:rPr>
              <w:b/>
              <w:bCs/>
              <w:color w:val="auto"/>
              <w:lang w:val="zh-CN"/>
            </w:rPr>
            <w:t>录</w:t>
          </w:r>
        </w:p>
        <w:p>
          <w:pPr>
            <w:pStyle w:val="32"/>
            <w:tabs>
              <w:tab w:val="right" w:leader="dot" w:pos="9016"/>
            </w:tabs>
            <w:rPr>
              <w:rFonts w:asciiTheme="minorHAnsi" w:hAnsiTheme="minorHAnsi" w:eastAsiaTheme="minorEastAsia" w:cstheme="minorBidi"/>
              <w:b/>
              <w:bCs/>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"1-1" \h \z \u </w:instrText>
          </w:r>
          <w:r>
            <w:rPr>
              <w:rFonts w:asciiTheme="minorEastAsia" w:hAnsiTheme="minorEastAsia" w:eastAsiaTheme="minorEastAsia"/>
              <w:sz w:val="28"/>
              <w:szCs w:val="28"/>
            </w:rPr>
            <w:fldChar w:fldCharType="separate"/>
          </w:r>
          <w:r>
            <w:fldChar w:fldCharType="begin"/>
          </w:r>
          <w:r>
            <w:instrText xml:space="preserve"> HYPERLINK \l "_Toc67670742" </w:instrText>
          </w:r>
          <w:r>
            <w:fldChar w:fldCharType="separate"/>
          </w:r>
          <w:r>
            <w:rPr>
              <w:rStyle w:val="51"/>
              <w:b/>
              <w:bCs/>
              <w:sz w:val="28"/>
              <w:szCs w:val="28"/>
            </w:rPr>
            <w:t>第一章 招标公告（投标邀请）</w:t>
          </w:r>
          <w:r>
            <w:rPr>
              <w:b/>
              <w:bCs/>
              <w:sz w:val="28"/>
              <w:szCs w:val="28"/>
            </w:rPr>
            <w:tab/>
          </w:r>
          <w:r>
            <w:rPr>
              <w:b/>
              <w:bCs/>
              <w:sz w:val="28"/>
              <w:szCs w:val="28"/>
            </w:rPr>
            <w:fldChar w:fldCharType="begin"/>
          </w:r>
          <w:r>
            <w:rPr>
              <w:b/>
              <w:bCs/>
              <w:sz w:val="28"/>
              <w:szCs w:val="28"/>
            </w:rPr>
            <w:instrText xml:space="preserve"> PAGEREF _Toc67670742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pPr>
            <w:pStyle w:val="32"/>
            <w:tabs>
              <w:tab w:val="right" w:leader="dot" w:pos="9016"/>
            </w:tabs>
            <w:rPr>
              <w:rFonts w:asciiTheme="minorHAnsi" w:hAnsiTheme="minorHAnsi" w:eastAsiaTheme="minorEastAsia" w:cstheme="minorBidi"/>
              <w:b/>
              <w:bCs/>
              <w:sz w:val="28"/>
              <w:szCs w:val="28"/>
            </w:rPr>
          </w:pPr>
          <w:r>
            <w:fldChar w:fldCharType="begin"/>
          </w:r>
          <w:r>
            <w:instrText xml:space="preserve"> HYPERLINK \l "_Toc67670743" </w:instrText>
          </w:r>
          <w:r>
            <w:fldChar w:fldCharType="separate"/>
          </w:r>
          <w:r>
            <w:rPr>
              <w:rStyle w:val="51"/>
              <w:b/>
              <w:bCs/>
              <w:sz w:val="28"/>
              <w:szCs w:val="28"/>
            </w:rPr>
            <w:t>第二章 投标人须知</w:t>
          </w:r>
          <w:r>
            <w:rPr>
              <w:b/>
              <w:bCs/>
              <w:sz w:val="28"/>
              <w:szCs w:val="28"/>
            </w:rPr>
            <w:tab/>
          </w:r>
          <w:r>
            <w:rPr>
              <w:b/>
              <w:bCs/>
              <w:sz w:val="28"/>
              <w:szCs w:val="28"/>
            </w:rPr>
            <w:fldChar w:fldCharType="begin"/>
          </w:r>
          <w:r>
            <w:rPr>
              <w:b/>
              <w:bCs/>
              <w:sz w:val="28"/>
              <w:szCs w:val="28"/>
            </w:rPr>
            <w:instrText xml:space="preserve"> PAGEREF _Toc67670743 \h </w:instrText>
          </w:r>
          <w:r>
            <w:rPr>
              <w:b/>
              <w:bCs/>
              <w:sz w:val="28"/>
              <w:szCs w:val="28"/>
            </w:rPr>
            <w:fldChar w:fldCharType="separate"/>
          </w:r>
          <w:r>
            <w:rPr>
              <w:b/>
              <w:bCs/>
              <w:sz w:val="28"/>
              <w:szCs w:val="28"/>
            </w:rPr>
            <w:t>5</w:t>
          </w:r>
          <w:r>
            <w:rPr>
              <w:b/>
              <w:bCs/>
              <w:sz w:val="28"/>
              <w:szCs w:val="28"/>
            </w:rPr>
            <w:fldChar w:fldCharType="end"/>
          </w:r>
          <w:r>
            <w:rPr>
              <w:b/>
              <w:bCs/>
              <w:sz w:val="28"/>
              <w:szCs w:val="28"/>
            </w:rPr>
            <w:fldChar w:fldCharType="end"/>
          </w:r>
        </w:p>
        <w:p>
          <w:pPr>
            <w:pStyle w:val="32"/>
            <w:tabs>
              <w:tab w:val="right" w:leader="dot" w:pos="9016"/>
            </w:tabs>
            <w:rPr>
              <w:rFonts w:asciiTheme="minorHAnsi" w:hAnsiTheme="minorHAnsi" w:eastAsiaTheme="minorEastAsia" w:cstheme="minorBidi"/>
              <w:b/>
              <w:bCs/>
              <w:sz w:val="28"/>
              <w:szCs w:val="28"/>
            </w:rPr>
          </w:pPr>
          <w:r>
            <w:fldChar w:fldCharType="begin"/>
          </w:r>
          <w:r>
            <w:instrText xml:space="preserve"> HYPERLINK \l "_Toc67670744" </w:instrText>
          </w:r>
          <w:r>
            <w:fldChar w:fldCharType="separate"/>
          </w:r>
          <w:r>
            <w:rPr>
              <w:rStyle w:val="51"/>
              <w:b/>
              <w:bCs/>
              <w:sz w:val="28"/>
              <w:szCs w:val="28"/>
            </w:rPr>
            <w:t>第三章 评标标准</w:t>
          </w:r>
          <w:r>
            <w:rPr>
              <w:b/>
              <w:bCs/>
              <w:sz w:val="28"/>
              <w:szCs w:val="28"/>
            </w:rPr>
            <w:tab/>
          </w:r>
          <w:r>
            <w:rPr>
              <w:b/>
              <w:bCs/>
              <w:sz w:val="28"/>
              <w:szCs w:val="28"/>
            </w:rPr>
            <w:fldChar w:fldCharType="begin"/>
          </w:r>
          <w:r>
            <w:rPr>
              <w:b/>
              <w:bCs/>
              <w:sz w:val="28"/>
              <w:szCs w:val="28"/>
            </w:rPr>
            <w:instrText xml:space="preserve"> PAGEREF _Toc67670744 \h </w:instrText>
          </w:r>
          <w:r>
            <w:rPr>
              <w:b/>
              <w:bCs/>
              <w:sz w:val="28"/>
              <w:szCs w:val="28"/>
            </w:rPr>
            <w:fldChar w:fldCharType="separate"/>
          </w:r>
          <w:r>
            <w:rPr>
              <w:b/>
              <w:bCs/>
              <w:sz w:val="28"/>
              <w:szCs w:val="28"/>
            </w:rPr>
            <w:t>19</w:t>
          </w:r>
          <w:r>
            <w:rPr>
              <w:b/>
              <w:bCs/>
              <w:sz w:val="28"/>
              <w:szCs w:val="28"/>
            </w:rPr>
            <w:fldChar w:fldCharType="end"/>
          </w:r>
          <w:r>
            <w:rPr>
              <w:b/>
              <w:bCs/>
              <w:sz w:val="28"/>
              <w:szCs w:val="28"/>
            </w:rPr>
            <w:fldChar w:fldCharType="end"/>
          </w:r>
        </w:p>
        <w:p>
          <w:pPr>
            <w:pStyle w:val="32"/>
            <w:tabs>
              <w:tab w:val="right" w:leader="dot" w:pos="9016"/>
            </w:tabs>
            <w:rPr>
              <w:rFonts w:asciiTheme="minorHAnsi" w:hAnsiTheme="minorHAnsi" w:eastAsiaTheme="minorEastAsia" w:cstheme="minorBidi"/>
              <w:b/>
              <w:bCs/>
              <w:sz w:val="28"/>
              <w:szCs w:val="28"/>
            </w:rPr>
          </w:pPr>
          <w:r>
            <w:fldChar w:fldCharType="begin"/>
          </w:r>
          <w:r>
            <w:instrText xml:space="preserve"> HYPERLINK \l "_Toc67670745" </w:instrText>
          </w:r>
          <w:r>
            <w:fldChar w:fldCharType="separate"/>
          </w:r>
          <w:r>
            <w:rPr>
              <w:rStyle w:val="51"/>
              <w:b/>
              <w:bCs/>
              <w:sz w:val="28"/>
              <w:szCs w:val="28"/>
            </w:rPr>
            <w:t>第四章 采购项目的内容和相关技术要求等</w:t>
          </w:r>
          <w:r>
            <w:rPr>
              <w:b/>
              <w:bCs/>
              <w:sz w:val="28"/>
              <w:szCs w:val="28"/>
            </w:rPr>
            <w:tab/>
          </w:r>
          <w:r>
            <w:rPr>
              <w:b/>
              <w:bCs/>
              <w:sz w:val="28"/>
              <w:szCs w:val="28"/>
            </w:rPr>
            <w:fldChar w:fldCharType="begin"/>
          </w:r>
          <w:r>
            <w:rPr>
              <w:b/>
              <w:bCs/>
              <w:sz w:val="28"/>
              <w:szCs w:val="28"/>
            </w:rPr>
            <w:instrText xml:space="preserve"> PAGEREF _Toc67670745 \h </w:instrText>
          </w:r>
          <w:r>
            <w:rPr>
              <w:b/>
              <w:bCs/>
              <w:sz w:val="28"/>
              <w:szCs w:val="28"/>
            </w:rPr>
            <w:fldChar w:fldCharType="separate"/>
          </w:r>
          <w:r>
            <w:rPr>
              <w:b/>
              <w:bCs/>
              <w:sz w:val="28"/>
              <w:szCs w:val="28"/>
            </w:rPr>
            <w:t>19</w:t>
          </w:r>
          <w:r>
            <w:rPr>
              <w:b/>
              <w:bCs/>
              <w:sz w:val="28"/>
              <w:szCs w:val="28"/>
            </w:rPr>
            <w:fldChar w:fldCharType="end"/>
          </w:r>
          <w:r>
            <w:rPr>
              <w:b/>
              <w:bCs/>
              <w:sz w:val="28"/>
              <w:szCs w:val="28"/>
            </w:rPr>
            <w:fldChar w:fldCharType="end"/>
          </w:r>
        </w:p>
        <w:p>
          <w:pPr>
            <w:pStyle w:val="32"/>
            <w:tabs>
              <w:tab w:val="right" w:leader="dot" w:pos="9016"/>
            </w:tabs>
            <w:rPr>
              <w:rFonts w:hint="eastAsia" w:eastAsia="宋体" w:asciiTheme="minorHAnsi" w:hAnsiTheme="minorHAnsi" w:cstheme="minorBidi"/>
              <w:b/>
              <w:bCs/>
              <w:sz w:val="28"/>
              <w:szCs w:val="28"/>
              <w:lang w:val="en-US" w:eastAsia="zh-CN"/>
            </w:rPr>
          </w:pPr>
          <w:r>
            <w:rPr>
              <w:highlight w:val="none"/>
            </w:rPr>
            <w:fldChar w:fldCharType="begin"/>
          </w:r>
          <w:r>
            <w:rPr>
              <w:highlight w:val="none"/>
            </w:rPr>
            <w:instrText xml:space="preserve"> HYPERLINK \l "_Toc67670746" </w:instrText>
          </w:r>
          <w:r>
            <w:rPr>
              <w:highlight w:val="none"/>
            </w:rPr>
            <w:fldChar w:fldCharType="separate"/>
          </w:r>
          <w:r>
            <w:rPr>
              <w:rStyle w:val="51"/>
              <w:b/>
              <w:bCs/>
              <w:sz w:val="28"/>
              <w:szCs w:val="28"/>
              <w:highlight w:val="none"/>
            </w:rPr>
            <w:t>第五章 合同主要条款及格式</w:t>
          </w:r>
          <w:r>
            <w:rPr>
              <w:b/>
              <w:bCs/>
              <w:sz w:val="28"/>
              <w:szCs w:val="28"/>
              <w:highlight w:val="none"/>
            </w:rPr>
            <w:tab/>
          </w:r>
          <w:r>
            <w:rPr>
              <w:rFonts w:hint="eastAsia"/>
              <w:b/>
              <w:bCs/>
              <w:sz w:val="28"/>
              <w:szCs w:val="28"/>
              <w:highlight w:val="none"/>
              <w:lang w:val="en-US" w:eastAsia="zh-CN"/>
            </w:rPr>
            <w:t>8</w:t>
          </w:r>
          <w:r>
            <w:rPr>
              <w:b/>
              <w:bCs/>
              <w:sz w:val="28"/>
              <w:szCs w:val="28"/>
              <w:highlight w:val="none"/>
            </w:rPr>
            <w:fldChar w:fldCharType="end"/>
          </w:r>
          <w:r>
            <w:rPr>
              <w:rFonts w:hint="eastAsia"/>
              <w:b/>
              <w:bCs/>
              <w:sz w:val="28"/>
              <w:szCs w:val="28"/>
              <w:highlight w:val="none"/>
              <w:lang w:val="en-US" w:eastAsia="zh-CN"/>
            </w:rPr>
            <w:t>2</w:t>
          </w:r>
        </w:p>
        <w:p>
          <w:pPr>
            <w:pStyle w:val="32"/>
            <w:tabs>
              <w:tab w:val="right" w:leader="dot" w:pos="9016"/>
            </w:tabs>
            <w:rPr>
              <w:rFonts w:hint="eastAsia" w:eastAsia="宋体" w:asciiTheme="minorHAnsi" w:hAnsiTheme="minorHAnsi" w:cstheme="minorBidi"/>
              <w:b/>
              <w:bCs/>
              <w:sz w:val="28"/>
              <w:szCs w:val="28"/>
              <w:lang w:val="en-US" w:eastAsia="zh-CN"/>
            </w:rPr>
          </w:pPr>
          <w:r>
            <w:fldChar w:fldCharType="begin"/>
          </w:r>
          <w:r>
            <w:instrText xml:space="preserve"> HYPERLINK \l "_Toc67670747" </w:instrText>
          </w:r>
          <w:r>
            <w:fldChar w:fldCharType="separate"/>
          </w:r>
          <w:r>
            <w:rPr>
              <w:rStyle w:val="51"/>
              <w:b/>
              <w:bCs/>
              <w:sz w:val="28"/>
              <w:szCs w:val="28"/>
            </w:rPr>
            <w:t>第六章 附件</w:t>
          </w:r>
          <w:r>
            <w:rPr>
              <w:b/>
              <w:bCs/>
              <w:sz w:val="28"/>
              <w:szCs w:val="28"/>
            </w:rPr>
            <w:tab/>
          </w:r>
          <w:r>
            <w:rPr>
              <w:rFonts w:hint="eastAsia"/>
              <w:b/>
              <w:bCs/>
              <w:sz w:val="28"/>
              <w:szCs w:val="28"/>
              <w:lang w:val="en-US" w:eastAsia="zh-CN"/>
            </w:rPr>
            <w:t>8</w:t>
          </w:r>
          <w:r>
            <w:rPr>
              <w:b/>
              <w:bCs/>
              <w:sz w:val="28"/>
              <w:szCs w:val="28"/>
            </w:rPr>
            <w:fldChar w:fldCharType="end"/>
          </w:r>
          <w:r>
            <w:rPr>
              <w:rFonts w:hint="eastAsia"/>
              <w:b/>
              <w:bCs/>
              <w:sz w:val="28"/>
              <w:szCs w:val="28"/>
              <w:lang w:val="en-US" w:eastAsia="zh-CN"/>
            </w:rPr>
            <w:t>7</w:t>
          </w:r>
        </w:p>
        <w:p>
          <w:r>
            <w:rPr>
              <w:rFonts w:asciiTheme="minorEastAsia" w:hAnsiTheme="minorEastAsia" w:eastAsiaTheme="minorEastAsia"/>
              <w:sz w:val="28"/>
              <w:szCs w:val="28"/>
            </w:rPr>
            <w:fldChar w:fldCharType="end"/>
          </w:r>
        </w:p>
      </w:sdtContent>
    </w:sdt>
    <w:p>
      <w:pPr>
        <w:pStyle w:val="32"/>
        <w:tabs>
          <w:tab w:val="right" w:leader="dot" w:pos="8296"/>
        </w:tabs>
        <w:rPr>
          <w:rFonts w:ascii="宋体" w:hAnsi="宋体"/>
          <w:b/>
          <w:bCs/>
          <w:sz w:val="28"/>
          <w:szCs w:val="28"/>
        </w:rPr>
      </w:pPr>
    </w:p>
    <w:p>
      <w:pPr>
        <w:pStyle w:val="32"/>
        <w:tabs>
          <w:tab w:val="right" w:leader="dot" w:pos="8306"/>
        </w:tabs>
        <w:spacing w:line="480" w:lineRule="auto"/>
        <w:rPr>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TOC \o "1-1" \h \u </w:instrText>
      </w:r>
      <w:r>
        <w:rPr>
          <w:rFonts w:hint="eastAsia" w:ascii="宋体" w:hAnsi="宋体" w:cs="宋体"/>
          <w:b/>
          <w:sz w:val="28"/>
          <w:szCs w:val="28"/>
        </w:rPr>
        <w:fldChar w:fldCharType="separate"/>
      </w:r>
    </w:p>
    <w:p>
      <w:pPr>
        <w:spacing w:line="480" w:lineRule="auto"/>
        <w:rPr>
          <w:rFonts w:ascii="宋体" w:hAnsi="宋体"/>
          <w:sz w:val="28"/>
          <w:szCs w:val="28"/>
        </w:rPr>
      </w:pPr>
      <w:r>
        <w:rPr>
          <w:rFonts w:hint="eastAsia" w:ascii="宋体" w:hAnsi="宋体" w:cs="宋体"/>
          <w:b/>
          <w:sz w:val="28"/>
          <w:szCs w:val="28"/>
        </w:rPr>
        <w:fldChar w:fldCharType="end"/>
      </w:r>
    </w:p>
    <w:p>
      <w:pPr>
        <w:widowControl/>
        <w:shd w:val="clear" w:color="auto" w:fill="FFFFFF"/>
        <w:spacing w:line="360" w:lineRule="auto"/>
        <w:jc w:val="left"/>
        <w:rPr>
          <w:rFonts w:ascii="宋体" w:hAnsi="宋体"/>
          <w:b/>
          <w:kern w:val="0"/>
          <w:sz w:val="36"/>
          <w:szCs w:val="36"/>
        </w:rPr>
      </w:pPr>
    </w:p>
    <w:p>
      <w:pPr>
        <w:pStyle w:val="4"/>
        <w:sectPr>
          <w:pgSz w:w="11906" w:h="16838"/>
          <w:pgMar w:top="1440" w:right="1440" w:bottom="1440" w:left="1440" w:header="1191" w:footer="964" w:gutter="0"/>
          <w:pgNumType w:start="0"/>
          <w:cols w:space="720" w:num="1"/>
          <w:titlePg/>
          <w:docGrid w:type="lines" w:linePitch="312" w:charSpace="0"/>
        </w:sectPr>
      </w:pPr>
      <w:bookmarkStart w:id="1" w:name="_Toc481057143"/>
      <w:bookmarkStart w:id="2" w:name="_Toc29007"/>
      <w:bookmarkStart w:id="3" w:name="_Hlk43897905"/>
    </w:p>
    <w:p>
      <w:pPr>
        <w:pStyle w:val="4"/>
      </w:pPr>
      <w:bookmarkStart w:id="91" w:name="_GoBack"/>
      <w:bookmarkEnd w:id="91"/>
      <w:r>
        <w:rPr>
          <w:rFonts w:hint="eastAsia"/>
        </w:rPr>
        <w:t xml:space="preserve"> </w:t>
      </w:r>
      <w:bookmarkStart w:id="4" w:name="_Toc67670742"/>
      <w:r>
        <w:rPr>
          <w:rFonts w:hint="eastAsia"/>
        </w:rPr>
        <w:t>招标公告</w:t>
      </w:r>
      <w:bookmarkEnd w:id="1"/>
      <w:bookmarkEnd w:id="2"/>
      <w:r>
        <w:rPr>
          <w:rFonts w:hint="eastAsia"/>
        </w:rPr>
        <w:t>（投标邀请）</w:t>
      </w:r>
      <w:bookmarkEnd w:id="4"/>
    </w:p>
    <w:p>
      <w:pPr>
        <w:widowControl/>
        <w:shd w:val="clear" w:color="auto" w:fill="FFFFFF"/>
        <w:spacing w:line="360" w:lineRule="auto"/>
        <w:ind w:firstLine="420" w:firstLineChars="200"/>
        <w:jc w:val="left"/>
        <w:rPr>
          <w:rFonts w:ascii="宋体" w:hAnsi="宋体" w:cs="Arial"/>
          <w:kern w:val="0"/>
          <w:szCs w:val="21"/>
          <w:u w:val="single"/>
        </w:rPr>
      </w:pPr>
      <w:r>
        <w:rPr>
          <w:rFonts w:ascii="宋体" w:hAnsi="宋体" w:cs="Arial"/>
          <w:szCs w:val="21"/>
        </w:rPr>
        <w:t>江苏国采工程咨询有限公司</w:t>
      </w:r>
      <w:r>
        <w:rPr>
          <w:rFonts w:hint="eastAsia" w:ascii="宋体" w:hAnsi="宋体" w:cs="Arial"/>
          <w:szCs w:val="21"/>
        </w:rPr>
        <w:t>（采购代理机构）</w:t>
      </w:r>
      <w:r>
        <w:rPr>
          <w:rFonts w:ascii="宋体" w:hAnsi="宋体" w:cs="Arial"/>
          <w:szCs w:val="21"/>
        </w:rPr>
        <w:t>受</w:t>
      </w:r>
      <w:r>
        <w:rPr>
          <w:rFonts w:hint="eastAsia" w:ascii="宋体" w:hAnsi="宋体" w:cs="Arial"/>
          <w:b/>
          <w:bCs/>
          <w:szCs w:val="21"/>
          <w:u w:val="single"/>
        </w:rPr>
        <w:t xml:space="preserve"> 南京旅游职业学院</w:t>
      </w:r>
      <w:r>
        <w:rPr>
          <w:rFonts w:hint="eastAsia" w:ascii="宋体" w:hAnsi="宋体" w:cs="Arial"/>
          <w:bCs/>
          <w:szCs w:val="21"/>
        </w:rPr>
        <w:t>（采购人）</w:t>
      </w:r>
      <w:r>
        <w:rPr>
          <w:rFonts w:ascii="宋体" w:hAnsi="宋体" w:cs="Arial"/>
          <w:szCs w:val="21"/>
        </w:rPr>
        <w:t>委托，就</w:t>
      </w:r>
      <w:r>
        <w:rPr>
          <w:rFonts w:hint="eastAsia" w:ascii="宋体" w:hAnsi="宋体" w:cs="Arial"/>
          <w:b/>
          <w:szCs w:val="21"/>
          <w:u w:val="single"/>
        </w:rPr>
        <w:t>南京旅游职业学院融合现实数字文旅实训室设备采购项目</w:t>
      </w:r>
      <w:r>
        <w:rPr>
          <w:rFonts w:ascii="宋体" w:hAnsi="宋体" w:cs="Arial"/>
          <w:szCs w:val="21"/>
        </w:rPr>
        <w:t>进行</w:t>
      </w:r>
      <w:r>
        <w:rPr>
          <w:rFonts w:hint="eastAsia" w:ascii="宋体" w:hAnsi="宋体"/>
          <w:szCs w:val="21"/>
        </w:rPr>
        <w:t>公开招标采购</w:t>
      </w:r>
      <w:r>
        <w:rPr>
          <w:rFonts w:ascii="宋体" w:hAnsi="宋体" w:cs="Arial"/>
          <w:szCs w:val="21"/>
        </w:rPr>
        <w:t>，现欢迎符合相关条件的投标人参加投标。</w:t>
      </w:r>
    </w:p>
    <w:p>
      <w:pPr>
        <w:widowControl/>
        <w:shd w:val="clear" w:color="auto" w:fill="FFFFFF"/>
        <w:spacing w:line="360" w:lineRule="auto"/>
        <w:ind w:firstLine="422" w:firstLineChars="200"/>
        <w:jc w:val="left"/>
        <w:rPr>
          <w:rFonts w:ascii="宋体" w:hAnsi="宋体"/>
          <w:kern w:val="0"/>
          <w:szCs w:val="21"/>
        </w:rPr>
      </w:pPr>
      <w:bookmarkStart w:id="5" w:name="_Hlk77845433"/>
      <w:r>
        <w:rPr>
          <w:rFonts w:hint="eastAsia" w:ascii="宋体" w:hAnsi="宋体" w:cs="Arial"/>
          <w:b/>
          <w:szCs w:val="21"/>
          <w:u w:val="single"/>
        </w:rPr>
        <w:t>南京旅游职业学院融合现实数字文旅实训室设备采购项目</w:t>
      </w:r>
      <w:r>
        <w:rPr>
          <w:rFonts w:ascii="宋体" w:hAnsi="宋体"/>
          <w:kern w:val="0"/>
          <w:szCs w:val="21"/>
        </w:rPr>
        <w:t>的潜在投标人应在</w:t>
      </w:r>
      <w:r>
        <w:rPr>
          <w:rFonts w:ascii="宋体" w:hAnsi="宋体" w:cs="Arial"/>
          <w:szCs w:val="21"/>
        </w:rPr>
        <w:t>江苏国采工程咨询有限公司</w:t>
      </w:r>
      <w:r>
        <w:rPr>
          <w:rFonts w:hint="eastAsia" w:ascii="宋体" w:hAnsi="宋体" w:cs="Arial"/>
          <w:szCs w:val="21"/>
        </w:rPr>
        <w:t>合法</w:t>
      </w:r>
      <w:r>
        <w:rPr>
          <w:rFonts w:ascii="宋体" w:hAnsi="宋体"/>
          <w:kern w:val="0"/>
          <w:szCs w:val="21"/>
        </w:rPr>
        <w:t>获</w:t>
      </w:r>
      <w:r>
        <w:rPr>
          <w:rFonts w:hint="eastAsia" w:ascii="宋体" w:hAnsi="宋体"/>
          <w:kern w:val="0"/>
          <w:szCs w:val="21"/>
        </w:rPr>
        <w:t>得采购项目的</w:t>
      </w:r>
      <w:r>
        <w:rPr>
          <w:rFonts w:ascii="宋体" w:hAnsi="宋体"/>
          <w:kern w:val="0"/>
          <w:szCs w:val="21"/>
        </w:rPr>
        <w:t>招标文件，并于</w:t>
      </w:r>
      <w:r>
        <w:rPr>
          <w:rFonts w:hint="eastAsia" w:ascii="宋体" w:hAnsi="宋体"/>
          <w:b/>
          <w:bCs/>
          <w:kern w:val="0"/>
          <w:szCs w:val="21"/>
          <w:u w:val="single"/>
        </w:rPr>
        <w:t>2023</w:t>
      </w:r>
      <w:r>
        <w:rPr>
          <w:rFonts w:asciiTheme="minorEastAsia" w:hAnsiTheme="minorEastAsia" w:eastAsiaTheme="minorEastAsia"/>
          <w:b/>
          <w:szCs w:val="21"/>
          <w:u w:val="single"/>
          <w:lang w:val="zh-CN"/>
        </w:rPr>
        <w:t>年</w:t>
      </w:r>
      <w:r>
        <w:rPr>
          <w:rFonts w:hint="eastAsia" w:asciiTheme="minorEastAsia" w:hAnsiTheme="minorEastAsia" w:eastAsiaTheme="minorEastAsia"/>
          <w:b/>
          <w:szCs w:val="21"/>
          <w:u w:val="single"/>
          <w:lang w:val="en-US" w:eastAsia="zh-CN"/>
        </w:rPr>
        <w:t>6</w:t>
      </w:r>
      <w:r>
        <w:rPr>
          <w:rFonts w:asciiTheme="minorEastAsia" w:hAnsiTheme="minorEastAsia" w:eastAsiaTheme="minorEastAsia"/>
          <w:b/>
          <w:szCs w:val="21"/>
          <w:u w:val="single"/>
          <w:lang w:val="zh-CN"/>
        </w:rPr>
        <w:t>月</w:t>
      </w:r>
      <w:r>
        <w:rPr>
          <w:rFonts w:hint="eastAsia" w:asciiTheme="minorEastAsia" w:hAnsiTheme="minorEastAsia" w:eastAsiaTheme="minorEastAsia"/>
          <w:b/>
          <w:szCs w:val="21"/>
          <w:u w:val="single"/>
          <w:lang w:val="en-US" w:eastAsia="zh-CN"/>
        </w:rPr>
        <w:t>16</w:t>
      </w:r>
      <w:r>
        <w:rPr>
          <w:rFonts w:asciiTheme="minorEastAsia" w:hAnsiTheme="minorEastAsia" w:eastAsiaTheme="minorEastAsia"/>
          <w:b/>
          <w:szCs w:val="21"/>
          <w:u w:val="single"/>
        </w:rPr>
        <w:t>日</w:t>
      </w:r>
      <w:r>
        <w:rPr>
          <w:rFonts w:hint="eastAsia" w:asciiTheme="minorEastAsia" w:hAnsiTheme="minorEastAsia" w:eastAsiaTheme="minorEastAsia"/>
          <w:b/>
          <w:szCs w:val="21"/>
          <w:u w:val="single"/>
        </w:rPr>
        <w:t>14:30</w:t>
      </w:r>
      <w:r>
        <w:rPr>
          <w:rFonts w:ascii="宋体" w:hAnsi="宋体"/>
          <w:kern w:val="0"/>
          <w:szCs w:val="21"/>
        </w:rPr>
        <w:t>（北京时间）前递交投标文件。</w:t>
      </w:r>
    </w:p>
    <w:bookmarkEnd w:id="5"/>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一、项目基本情况</w:t>
      </w:r>
      <w:r>
        <w:rPr>
          <w:rFonts w:hint="eastAsia" w:ascii="宋体" w:hAnsi="宋体" w:cs="Arial"/>
          <w:b/>
          <w:kern w:val="0"/>
          <w:szCs w:val="21"/>
        </w:rPr>
        <w:t xml:space="preserve"> </w:t>
      </w:r>
      <w:r>
        <w:rPr>
          <w:rFonts w:ascii="宋体" w:hAnsi="宋体" w:cs="Arial"/>
          <w:b/>
          <w:kern w:val="0"/>
          <w:szCs w:val="21"/>
        </w:rPr>
        <w:t xml:space="preserve">  </w:t>
      </w:r>
    </w:p>
    <w:p>
      <w:pPr>
        <w:widowControl/>
        <w:shd w:val="clear" w:color="auto" w:fill="FFFFFF"/>
        <w:spacing w:line="360" w:lineRule="auto"/>
        <w:ind w:firstLine="422" w:firstLineChars="200"/>
        <w:jc w:val="left"/>
        <w:rPr>
          <w:rFonts w:ascii="宋体" w:hAnsi="宋体" w:cs="Arial"/>
          <w:bCs/>
          <w:kern w:val="0"/>
          <w:szCs w:val="21"/>
        </w:rPr>
      </w:pPr>
      <w:r>
        <w:rPr>
          <w:rFonts w:ascii="宋体" w:hAnsi="宋体" w:cs="Arial"/>
          <w:b/>
          <w:kern w:val="0"/>
          <w:szCs w:val="21"/>
        </w:rPr>
        <w:t>1.1项目编号：</w:t>
      </w:r>
      <w:r>
        <w:rPr>
          <w:rFonts w:ascii="宋体" w:hAnsi="宋体" w:cs="Arial"/>
          <w:b w:val="0"/>
          <w:bCs/>
          <w:kern w:val="0"/>
          <w:szCs w:val="21"/>
        </w:rPr>
        <w:t>JSGC23G5199</w:t>
      </w:r>
    </w:p>
    <w:p>
      <w:pPr>
        <w:widowControl/>
        <w:shd w:val="clear" w:color="auto" w:fill="FFFFFF"/>
        <w:spacing w:line="360" w:lineRule="auto"/>
        <w:ind w:firstLine="422" w:firstLineChars="200"/>
        <w:jc w:val="left"/>
        <w:rPr>
          <w:rFonts w:ascii="宋体" w:hAnsi="宋体" w:cs="Arial"/>
          <w:bCs/>
          <w:kern w:val="0"/>
          <w:szCs w:val="21"/>
        </w:rPr>
      </w:pPr>
      <w:r>
        <w:rPr>
          <w:rFonts w:ascii="宋体" w:hAnsi="宋体" w:cs="Arial"/>
          <w:b/>
          <w:kern w:val="0"/>
          <w:szCs w:val="21"/>
        </w:rPr>
        <w:t>1.2项目名称：</w:t>
      </w:r>
      <w:r>
        <w:rPr>
          <w:rFonts w:hint="eastAsia" w:ascii="宋体" w:hAnsi="宋体" w:cs="Arial"/>
          <w:bCs/>
          <w:szCs w:val="21"/>
        </w:rPr>
        <w:t xml:space="preserve">南京旅游职业学院融合现实数字文旅实训室设备采购项目 </w:t>
      </w:r>
    </w:p>
    <w:p>
      <w:pPr>
        <w:widowControl/>
        <w:shd w:val="clear" w:color="auto" w:fill="FFFFFF"/>
        <w:spacing w:line="360" w:lineRule="auto"/>
        <w:ind w:firstLine="422" w:firstLineChars="200"/>
        <w:jc w:val="left"/>
      </w:pPr>
      <w:r>
        <w:rPr>
          <w:rFonts w:ascii="宋体" w:hAnsi="宋体" w:cs="Arial"/>
          <w:b/>
          <w:kern w:val="0"/>
          <w:szCs w:val="21"/>
        </w:rPr>
        <w:t>1.3</w:t>
      </w:r>
      <w:r>
        <w:rPr>
          <w:rFonts w:hint="eastAsia" w:ascii="宋体" w:hAnsi="宋体" w:cs="Arial"/>
          <w:b/>
          <w:kern w:val="0"/>
          <w:szCs w:val="21"/>
        </w:rPr>
        <w:t>项目</w:t>
      </w:r>
      <w:r>
        <w:rPr>
          <w:rFonts w:hint="eastAsia" w:ascii="宋体" w:hAnsi="宋体"/>
          <w:b/>
          <w:szCs w:val="21"/>
        </w:rPr>
        <w:t>预算：</w:t>
      </w:r>
      <w:r>
        <w:rPr>
          <w:rFonts w:hint="eastAsia" w:ascii="宋体" w:hAnsi="宋体"/>
          <w:bCs/>
          <w:szCs w:val="21"/>
        </w:rPr>
        <w:t xml:space="preserve">60万元 </w:t>
      </w:r>
    </w:p>
    <w:p>
      <w:pPr>
        <w:widowControl/>
        <w:shd w:val="clear" w:color="auto" w:fill="FFFFFF"/>
        <w:spacing w:line="360" w:lineRule="auto"/>
        <w:ind w:firstLine="843" w:firstLineChars="400"/>
        <w:jc w:val="left"/>
        <w:rPr>
          <w:rFonts w:ascii="宋体" w:hAnsi="宋体" w:cs="Arial"/>
          <w:bCs/>
          <w:kern w:val="0"/>
          <w:szCs w:val="21"/>
        </w:rPr>
      </w:pPr>
      <w:r>
        <w:rPr>
          <w:rFonts w:hint="eastAsia" w:ascii="宋体" w:hAnsi="宋体"/>
          <w:b/>
          <w:szCs w:val="21"/>
        </w:rPr>
        <w:t>项目最高限价</w:t>
      </w:r>
      <w:r>
        <w:rPr>
          <w:rFonts w:ascii="宋体" w:hAnsi="宋体" w:cs="Arial"/>
          <w:bCs/>
          <w:kern w:val="0"/>
          <w:szCs w:val="21"/>
        </w:rPr>
        <w:t>：</w:t>
      </w:r>
      <w:r>
        <w:rPr>
          <w:rFonts w:hint="eastAsia" w:ascii="宋体" w:hAnsi="宋体"/>
          <w:bCs/>
          <w:szCs w:val="21"/>
        </w:rPr>
        <w:t xml:space="preserve">60万元 </w:t>
      </w:r>
    </w:p>
    <w:p>
      <w:pPr>
        <w:widowControl/>
        <w:shd w:val="clear" w:color="auto" w:fill="FFFFFF"/>
        <w:spacing w:line="360" w:lineRule="auto"/>
        <w:ind w:firstLine="422" w:firstLineChars="200"/>
        <w:jc w:val="left"/>
        <w:rPr>
          <w:rFonts w:ascii="宋体" w:hAnsi="宋体" w:cs="Arial"/>
          <w:b/>
          <w:kern w:val="0"/>
          <w:szCs w:val="21"/>
          <w:highlight w:val="none"/>
        </w:rPr>
      </w:pPr>
      <w:r>
        <w:rPr>
          <w:rFonts w:ascii="宋体" w:hAnsi="宋体" w:cs="Arial"/>
          <w:b/>
          <w:kern w:val="0"/>
          <w:szCs w:val="21"/>
        </w:rPr>
        <w:t>1.</w:t>
      </w:r>
      <w:r>
        <w:rPr>
          <w:rFonts w:hint="eastAsia" w:ascii="宋体" w:hAnsi="宋体" w:cs="Arial"/>
          <w:b/>
          <w:kern w:val="0"/>
          <w:szCs w:val="21"/>
        </w:rPr>
        <w:t>4</w:t>
      </w:r>
      <w:r>
        <w:rPr>
          <w:rFonts w:ascii="宋体" w:hAnsi="宋体" w:cs="Arial"/>
          <w:b/>
          <w:kern w:val="0"/>
          <w:szCs w:val="21"/>
        </w:rPr>
        <w:t>采购需求</w:t>
      </w:r>
      <w:r>
        <w:rPr>
          <w:rFonts w:hint="eastAsia" w:ascii="宋体" w:hAnsi="宋体" w:cs="Arial"/>
          <w:b/>
          <w:kern w:val="0"/>
          <w:szCs w:val="21"/>
        </w:rPr>
        <w:t>：</w:t>
      </w:r>
      <w:r>
        <w:rPr>
          <w:rFonts w:hint="eastAsia" w:ascii="宋体" w:hAnsi="宋体" w:cs="Arial"/>
          <w:bCs/>
          <w:kern w:val="0"/>
          <w:szCs w:val="21"/>
        </w:rPr>
        <w:t>为培养学生信息素养和信息意识，提高学生应用信息技术的能力和水平和技能大赛专项训练实践奠定坚实的知识基础和丰富的数字化应用能力。本次拟</w:t>
      </w:r>
      <w:r>
        <w:rPr>
          <w:rFonts w:hint="eastAsia" w:ascii="宋体" w:hAnsi="宋体" w:cs="Arial"/>
          <w:bCs/>
          <w:kern w:val="0"/>
          <w:szCs w:val="21"/>
          <w:lang w:val="en-US" w:eastAsia="zh-CN"/>
        </w:rPr>
        <w:t>采购</w:t>
      </w:r>
      <w:r>
        <w:rPr>
          <w:rFonts w:hint="eastAsia" w:ascii="宋体" w:hAnsi="宋体" w:cs="Arial"/>
          <w:bCs/>
          <w:kern w:val="0"/>
          <w:szCs w:val="21"/>
        </w:rPr>
        <w:t>融合现实数字文旅实训室设备。采购内容包括：投影机、透明膜、4K录播一体机、高清云台摄像机、数字音频矩阵、图像跟踪一体机、桌面式触摸面板、时序电源控制器、资源管理平台、高清摄像机、虚拟微课主机、返送信号处理器、双电机嵌入式数字遥控电动翻转LED智控灯、P2.0LED</w:t>
      </w:r>
      <w:r>
        <w:rPr>
          <w:rFonts w:hint="eastAsia" w:ascii="宋体" w:hAnsi="宋体" w:cs="Arial"/>
          <w:bCs/>
          <w:kern w:val="0"/>
          <w:szCs w:val="21"/>
          <w:highlight w:val="none"/>
        </w:rPr>
        <w:t>显示屏、3D立体眼镜、多媒体讲台、8寸多功能音箱、65寸智能交互平板、86寸智能交互平板、梯形桌、笔记本充电柜等。具体技术指标详见招标文件第四章。</w:t>
      </w:r>
    </w:p>
    <w:p>
      <w:pPr>
        <w:widowControl/>
        <w:shd w:val="clear" w:color="auto" w:fill="FFFFFF"/>
        <w:spacing w:line="360" w:lineRule="auto"/>
        <w:ind w:firstLine="422" w:firstLineChars="200"/>
        <w:jc w:val="left"/>
        <w:rPr>
          <w:rFonts w:ascii="宋体" w:hAnsi="宋体" w:cs="Arial"/>
          <w:bCs/>
          <w:kern w:val="0"/>
          <w:szCs w:val="21"/>
          <w:highlight w:val="none"/>
        </w:rPr>
      </w:pPr>
      <w:r>
        <w:rPr>
          <w:rFonts w:ascii="宋体" w:hAnsi="宋体" w:cs="Arial"/>
          <w:b/>
          <w:kern w:val="0"/>
          <w:szCs w:val="21"/>
          <w:highlight w:val="none"/>
        </w:rPr>
        <w:t>1.</w:t>
      </w:r>
      <w:r>
        <w:rPr>
          <w:rFonts w:hint="eastAsia" w:ascii="宋体" w:hAnsi="宋体" w:cs="Arial"/>
          <w:b/>
          <w:kern w:val="0"/>
          <w:szCs w:val="21"/>
          <w:highlight w:val="none"/>
        </w:rPr>
        <w:t>5</w:t>
      </w:r>
      <w:r>
        <w:rPr>
          <w:rFonts w:ascii="宋体" w:hAnsi="宋体" w:cs="Arial"/>
          <w:b/>
          <w:kern w:val="0"/>
          <w:szCs w:val="21"/>
          <w:highlight w:val="none"/>
        </w:rPr>
        <w:t>合同履行期限：</w:t>
      </w:r>
      <w:r>
        <w:rPr>
          <w:rFonts w:hint="eastAsia" w:ascii="宋体" w:hAnsi="宋体" w:cs="Arial"/>
          <w:bCs/>
          <w:kern w:val="0"/>
          <w:szCs w:val="21"/>
          <w:highlight w:val="none"/>
        </w:rPr>
        <w:t>自合同签订之日后40日历日</w:t>
      </w:r>
      <w:r>
        <w:rPr>
          <w:rFonts w:hint="eastAsia" w:ascii="宋体" w:hAnsi="宋体" w:cs="Arial"/>
          <w:bCs/>
          <w:kern w:val="0"/>
          <w:szCs w:val="21"/>
          <w:highlight w:val="none"/>
          <w:lang w:val="en-US" w:eastAsia="zh-CN"/>
        </w:rPr>
        <w:t>内设备</w:t>
      </w:r>
      <w:r>
        <w:rPr>
          <w:rFonts w:hint="eastAsia" w:ascii="宋体" w:hAnsi="宋体" w:cs="Arial"/>
          <w:bCs/>
          <w:kern w:val="0"/>
          <w:szCs w:val="21"/>
          <w:highlight w:val="none"/>
        </w:rPr>
        <w:t>完成全部安装调试。</w:t>
      </w:r>
    </w:p>
    <w:p>
      <w:pPr>
        <w:widowControl/>
        <w:shd w:val="clear" w:color="auto" w:fill="FFFFFF"/>
        <w:spacing w:line="360" w:lineRule="auto"/>
        <w:ind w:firstLine="422" w:firstLineChars="200"/>
        <w:jc w:val="left"/>
        <w:rPr>
          <w:rFonts w:ascii="宋体"/>
          <w:color w:val="FF0000"/>
          <w:kern w:val="0"/>
          <w:szCs w:val="21"/>
        </w:rPr>
      </w:pPr>
      <w:bookmarkStart w:id="6" w:name="_Hlk54871965"/>
      <w:r>
        <w:rPr>
          <w:rFonts w:ascii="宋体" w:hAnsi="宋体" w:cs="Arial"/>
          <w:b/>
          <w:bCs/>
          <w:kern w:val="0"/>
          <w:szCs w:val="21"/>
        </w:rPr>
        <w:t>1.</w:t>
      </w:r>
      <w:r>
        <w:rPr>
          <w:rFonts w:hint="eastAsia" w:ascii="宋体" w:hAnsi="宋体" w:cs="Arial"/>
          <w:b/>
          <w:bCs/>
          <w:kern w:val="0"/>
          <w:szCs w:val="21"/>
        </w:rPr>
        <w:t>6</w:t>
      </w:r>
      <w:r>
        <w:rPr>
          <w:rFonts w:ascii="宋体" w:hAnsi="宋体" w:cs="Arial"/>
          <w:b/>
          <w:bCs/>
          <w:kern w:val="0"/>
          <w:szCs w:val="21"/>
        </w:rPr>
        <w:t>本项目</w:t>
      </w:r>
      <w:r>
        <w:rPr>
          <w:rFonts w:hint="eastAsia" w:ascii="宋体" w:hAnsi="宋体" w:cs="Arial"/>
          <w:b/>
          <w:bCs/>
          <w:kern w:val="0"/>
          <w:szCs w:val="21"/>
        </w:rPr>
        <w:t>不接受</w:t>
      </w:r>
      <w:r>
        <w:rPr>
          <w:rFonts w:ascii="宋体" w:hAnsi="宋体" w:cs="Arial"/>
          <w:b/>
          <w:bCs/>
          <w:kern w:val="0"/>
          <w:szCs w:val="21"/>
        </w:rPr>
        <w:t>联合体投标。</w:t>
      </w:r>
    </w:p>
    <w:bookmarkEnd w:id="6"/>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二、</w:t>
      </w:r>
      <w:r>
        <w:rPr>
          <w:rFonts w:hint="eastAsia" w:ascii="宋体" w:hAnsi="宋体" w:cs="Arial"/>
          <w:b/>
          <w:kern w:val="0"/>
          <w:szCs w:val="21"/>
        </w:rPr>
        <w:t>投标人的</w:t>
      </w:r>
      <w:r>
        <w:rPr>
          <w:rFonts w:ascii="宋体" w:hAnsi="宋体" w:cs="Arial"/>
          <w:b/>
          <w:kern w:val="0"/>
          <w:szCs w:val="21"/>
        </w:rPr>
        <w:t>资格要求：</w:t>
      </w:r>
    </w:p>
    <w:p>
      <w:pPr>
        <w:widowControl/>
        <w:shd w:val="clear" w:color="auto" w:fill="FFFFFF"/>
        <w:spacing w:line="360" w:lineRule="auto"/>
        <w:ind w:firstLine="422" w:firstLineChars="200"/>
        <w:jc w:val="left"/>
        <w:rPr>
          <w:rFonts w:ascii="宋体" w:hAnsi="宋体" w:cs="Arial"/>
          <w:b/>
          <w:kern w:val="0"/>
          <w:szCs w:val="21"/>
        </w:rPr>
      </w:pPr>
      <w:r>
        <w:rPr>
          <w:rFonts w:hint="eastAsia" w:ascii="宋体" w:hAnsi="宋体" w:cs="Arial"/>
          <w:b/>
          <w:kern w:val="0"/>
          <w:szCs w:val="21"/>
        </w:rPr>
        <w:t>2.</w:t>
      </w:r>
      <w:r>
        <w:rPr>
          <w:rFonts w:ascii="宋体" w:hAnsi="宋体" w:cs="Arial"/>
          <w:b/>
          <w:kern w:val="0"/>
          <w:szCs w:val="21"/>
        </w:rPr>
        <w:t>1满足《中华人民共和国政府采购法》第二十二条规定；</w:t>
      </w:r>
    </w:p>
    <w:p>
      <w:pPr>
        <w:spacing w:line="360" w:lineRule="auto"/>
        <w:ind w:firstLine="420" w:firstLineChars="200"/>
        <w:jc w:val="left"/>
        <w:rPr>
          <w:rFonts w:ascii="宋体" w:hAnsi="宋体"/>
          <w:bCs/>
          <w:szCs w:val="21"/>
        </w:rPr>
      </w:pPr>
      <w:r>
        <w:rPr>
          <w:rFonts w:hint="eastAsia" w:ascii="宋体" w:hAnsi="宋体"/>
          <w:bCs/>
          <w:szCs w:val="21"/>
        </w:rPr>
        <w:t>（1）具有独立承担民事责任的能力（提供法人或其他组织的营业执照等证明文件，自然人的身份证明）；</w:t>
      </w:r>
    </w:p>
    <w:p>
      <w:pPr>
        <w:spacing w:line="360" w:lineRule="auto"/>
        <w:ind w:firstLine="420" w:firstLineChars="200"/>
        <w:jc w:val="left"/>
        <w:rPr>
          <w:rFonts w:ascii="宋体" w:hAnsi="宋体"/>
          <w:bCs/>
          <w:szCs w:val="21"/>
        </w:rPr>
      </w:pPr>
      <w:r>
        <w:rPr>
          <w:rFonts w:hint="eastAsia" w:ascii="宋体" w:hAnsi="宋体"/>
          <w:bCs/>
          <w:szCs w:val="21"/>
        </w:rPr>
        <w:t>（2）具有良好的商业信誉和健全的财务会计制度（提供参加本次政府采购活动前的会计报表，或银行出具的投标截止时间前六个月内银行出具的资信证明，或财政部门认可的政府采购专业担保机构出具的投标担保函）；</w:t>
      </w:r>
    </w:p>
    <w:p>
      <w:pPr>
        <w:spacing w:line="360" w:lineRule="auto"/>
        <w:ind w:firstLine="420" w:firstLineChars="200"/>
        <w:jc w:val="left"/>
        <w:rPr>
          <w:rFonts w:ascii="宋体" w:hAnsi="宋体"/>
          <w:bCs/>
          <w:szCs w:val="21"/>
        </w:rPr>
      </w:pPr>
      <w:r>
        <w:rPr>
          <w:rFonts w:hint="eastAsia" w:ascii="宋体" w:hAnsi="宋体"/>
          <w:bCs/>
          <w:szCs w:val="21"/>
        </w:rPr>
        <w:t>（3）具有履行合同所必需的设备和专业技术能力（根据项目需求提供履行合同所必需的设备和专业技术能力的声明及证明材料）；</w:t>
      </w:r>
    </w:p>
    <w:p>
      <w:pPr>
        <w:spacing w:line="360" w:lineRule="auto"/>
        <w:ind w:firstLine="420" w:firstLineChars="200"/>
        <w:jc w:val="left"/>
        <w:rPr>
          <w:rFonts w:ascii="宋体" w:hAnsi="宋体"/>
          <w:bCs/>
          <w:szCs w:val="21"/>
        </w:rPr>
      </w:pPr>
      <w:r>
        <w:rPr>
          <w:rFonts w:hint="eastAsia" w:ascii="宋体" w:hAnsi="宋体"/>
          <w:bCs/>
          <w:szCs w:val="21"/>
        </w:rPr>
        <w:t>（4）有依法缴纳税收和社会保障资金的良好记录（提供参加本次政府采购活动前半年内至少一个月缴纳增值税，或营业税，或企业所得税的凭据，并缴纳社会保险的凭据（专用收据，或社会保险缴纳清单））；</w:t>
      </w:r>
    </w:p>
    <w:p>
      <w:pPr>
        <w:spacing w:line="360" w:lineRule="auto"/>
        <w:ind w:firstLine="420" w:firstLineChars="200"/>
        <w:jc w:val="left"/>
        <w:rPr>
          <w:rFonts w:ascii="宋体" w:hAnsi="宋体"/>
          <w:bCs/>
          <w:szCs w:val="21"/>
        </w:rPr>
      </w:pPr>
      <w:r>
        <w:rPr>
          <w:rFonts w:hint="eastAsia" w:ascii="宋体" w:hAnsi="宋体"/>
          <w:bCs/>
          <w:szCs w:val="21"/>
        </w:rPr>
        <w:t>（5）参加政府采购活动前三年内，在经营活动中没有重大违法记录（提供承诺书，格式见招标文件）；</w:t>
      </w:r>
    </w:p>
    <w:p>
      <w:pPr>
        <w:spacing w:line="360" w:lineRule="auto"/>
        <w:ind w:firstLine="420" w:firstLineChars="200"/>
        <w:jc w:val="left"/>
        <w:rPr>
          <w:rFonts w:ascii="宋体" w:hAnsi="宋体"/>
          <w:bCs/>
          <w:szCs w:val="21"/>
        </w:rPr>
      </w:pPr>
      <w:r>
        <w:rPr>
          <w:rFonts w:hint="eastAsia" w:ascii="宋体" w:hAnsi="宋体"/>
          <w:bCs/>
          <w:szCs w:val="21"/>
        </w:rPr>
        <w:t>（6）法律、行政法规规定的其他条件：无。</w:t>
      </w:r>
    </w:p>
    <w:p>
      <w:pPr>
        <w:widowControl/>
        <w:shd w:val="clear" w:color="auto" w:fill="FFFFFF"/>
        <w:spacing w:line="360" w:lineRule="auto"/>
        <w:ind w:firstLine="422" w:firstLineChars="200"/>
        <w:jc w:val="left"/>
        <w:rPr>
          <w:rFonts w:ascii="宋体" w:hAnsi="宋体" w:cs="Arial"/>
          <w:kern w:val="0"/>
          <w:szCs w:val="21"/>
        </w:rPr>
      </w:pPr>
      <w:r>
        <w:rPr>
          <w:rFonts w:ascii="宋体" w:hAnsi="宋体" w:cs="Arial"/>
          <w:b/>
          <w:kern w:val="0"/>
          <w:szCs w:val="21"/>
        </w:rPr>
        <w:t>2.</w:t>
      </w:r>
      <w:r>
        <w:rPr>
          <w:rFonts w:hint="eastAsia" w:ascii="宋体" w:hAnsi="宋体" w:cs="Arial"/>
          <w:b/>
          <w:kern w:val="0"/>
          <w:szCs w:val="21"/>
        </w:rPr>
        <w:t>2</w:t>
      </w:r>
      <w:r>
        <w:rPr>
          <w:rFonts w:ascii="宋体" w:hAnsi="宋体" w:cs="Arial"/>
          <w:b/>
          <w:kern w:val="0"/>
          <w:szCs w:val="21"/>
        </w:rPr>
        <w:t>落实政府采购政策需满足的资格要求：</w:t>
      </w:r>
      <w:r>
        <w:rPr>
          <w:rFonts w:hint="eastAsia" w:cs="Arial" w:asciiTheme="minorEastAsia" w:hAnsiTheme="minorEastAsia" w:eastAsiaTheme="minorEastAsia"/>
          <w:bCs/>
          <w:spacing w:val="8"/>
          <w:kern w:val="0"/>
          <w:szCs w:val="21"/>
        </w:rPr>
        <w:t>无。</w:t>
      </w:r>
    </w:p>
    <w:p>
      <w:pPr>
        <w:widowControl/>
        <w:shd w:val="clear" w:color="auto" w:fill="FFFFFF"/>
        <w:spacing w:line="360" w:lineRule="auto"/>
        <w:ind w:firstLine="422" w:firstLineChars="200"/>
        <w:jc w:val="left"/>
        <w:rPr>
          <w:rFonts w:ascii="宋体" w:hAnsi="宋体" w:cs="Arial"/>
          <w:bCs/>
          <w:szCs w:val="21"/>
        </w:rPr>
      </w:pPr>
      <w:r>
        <w:rPr>
          <w:rFonts w:hint="eastAsia" w:ascii="宋体" w:hAnsi="宋体" w:cs="Arial"/>
          <w:b/>
          <w:kern w:val="0"/>
          <w:szCs w:val="21"/>
        </w:rPr>
        <w:t>2.</w:t>
      </w:r>
      <w:r>
        <w:rPr>
          <w:rFonts w:ascii="宋体" w:hAnsi="宋体" w:cs="Arial"/>
          <w:b/>
          <w:kern w:val="0"/>
          <w:szCs w:val="21"/>
        </w:rPr>
        <w:t>3</w:t>
      </w:r>
      <w:bookmarkStart w:id="7" w:name="_Hlk67996638"/>
      <w:bookmarkStart w:id="8" w:name="_Hlk67648547"/>
      <w:r>
        <w:rPr>
          <w:rFonts w:hint="eastAsia" w:ascii="宋体" w:hAnsi="宋体" w:cs="Arial"/>
          <w:b/>
          <w:szCs w:val="21"/>
        </w:rPr>
        <w:t>本项目特定资格要求</w:t>
      </w:r>
      <w:bookmarkEnd w:id="7"/>
      <w:r>
        <w:rPr>
          <w:rFonts w:hint="eastAsia" w:ascii="宋体" w:hAnsi="宋体" w:cs="Arial"/>
          <w:b/>
          <w:szCs w:val="21"/>
        </w:rPr>
        <w:t>：</w:t>
      </w:r>
      <w:bookmarkEnd w:id="8"/>
      <w:bookmarkStart w:id="9" w:name="_Hlk68013806"/>
      <w:r>
        <w:rPr>
          <w:rFonts w:hint="eastAsia" w:ascii="宋体" w:hAnsi="宋体" w:cs="Arial"/>
          <w:bCs/>
          <w:szCs w:val="21"/>
        </w:rPr>
        <w:t>无。</w:t>
      </w:r>
    </w:p>
    <w:bookmarkEnd w:id="9"/>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三、获取招标文件</w:t>
      </w:r>
    </w:p>
    <w:p>
      <w:pPr>
        <w:widowControl/>
        <w:shd w:val="clear" w:color="auto" w:fill="FFFFFF"/>
        <w:spacing w:line="360" w:lineRule="auto"/>
        <w:ind w:firstLine="420" w:firstLineChars="200"/>
        <w:jc w:val="left"/>
        <w:rPr>
          <w:rFonts w:ascii="宋体" w:hAnsi="宋体"/>
          <w:color w:val="FF0000"/>
          <w:kern w:val="0"/>
          <w:szCs w:val="21"/>
          <w:u w:val="single"/>
        </w:rPr>
      </w:pPr>
      <w:r>
        <w:rPr>
          <w:rFonts w:ascii="宋体" w:hAnsi="宋体"/>
          <w:kern w:val="0"/>
          <w:szCs w:val="21"/>
        </w:rPr>
        <w:t>3.1</w:t>
      </w:r>
      <w:r>
        <w:rPr>
          <w:rFonts w:hint="eastAsia" w:ascii="宋体" w:hAnsi="宋体"/>
          <w:kern w:val="0"/>
          <w:szCs w:val="21"/>
        </w:rPr>
        <w:t xml:space="preserve"> </w:t>
      </w:r>
      <w:r>
        <w:rPr>
          <w:rFonts w:ascii="宋体" w:hAnsi="宋体"/>
          <w:kern w:val="0"/>
          <w:szCs w:val="21"/>
        </w:rPr>
        <w:t>时间：</w:t>
      </w:r>
      <w:r>
        <w:rPr>
          <w:rFonts w:hint="eastAsia" w:ascii="宋体" w:hAnsi="宋体"/>
          <w:snapToGrid w:val="0"/>
          <w:kern w:val="0"/>
          <w:szCs w:val="21"/>
          <w:u w:val="single"/>
        </w:rPr>
        <w:t>2023</w:t>
      </w:r>
      <w:r>
        <w:rPr>
          <w:rFonts w:ascii="宋体" w:hAnsi="宋体"/>
          <w:snapToGrid w:val="0"/>
          <w:kern w:val="0"/>
          <w:szCs w:val="21"/>
          <w:u w:val="single"/>
        </w:rPr>
        <w:t>年</w:t>
      </w:r>
      <w:r>
        <w:rPr>
          <w:rFonts w:hint="eastAsia" w:ascii="宋体" w:hAnsi="宋体"/>
          <w:snapToGrid w:val="0"/>
          <w:kern w:val="0"/>
          <w:szCs w:val="21"/>
          <w:u w:val="single"/>
          <w:lang w:val="en-US" w:eastAsia="zh-CN"/>
        </w:rPr>
        <w:t>5</w:t>
      </w:r>
      <w:r>
        <w:rPr>
          <w:rFonts w:ascii="宋体" w:hAnsi="宋体"/>
          <w:snapToGrid w:val="0"/>
          <w:kern w:val="0"/>
          <w:szCs w:val="21"/>
          <w:u w:val="single"/>
        </w:rPr>
        <w:t>月</w:t>
      </w:r>
      <w:r>
        <w:rPr>
          <w:rFonts w:hint="eastAsia" w:ascii="宋体" w:hAnsi="宋体"/>
          <w:snapToGrid w:val="0"/>
          <w:kern w:val="0"/>
          <w:szCs w:val="21"/>
          <w:u w:val="single"/>
          <w:lang w:val="en-US" w:eastAsia="zh-CN"/>
        </w:rPr>
        <w:t>26</w:t>
      </w:r>
      <w:r>
        <w:rPr>
          <w:rFonts w:ascii="宋体" w:hAnsi="宋体"/>
          <w:snapToGrid w:val="0"/>
          <w:kern w:val="0"/>
          <w:szCs w:val="21"/>
          <w:u w:val="single"/>
        </w:rPr>
        <w:t>日</w:t>
      </w:r>
      <w:r>
        <w:rPr>
          <w:rFonts w:hint="eastAsia" w:ascii="宋体" w:hAnsi="宋体"/>
          <w:snapToGrid w:val="0"/>
          <w:kern w:val="0"/>
          <w:szCs w:val="21"/>
          <w:u w:val="single"/>
        </w:rPr>
        <w:t>17</w:t>
      </w:r>
      <w:r>
        <w:rPr>
          <w:rFonts w:ascii="宋体" w:hAnsi="宋体"/>
          <w:snapToGrid w:val="0"/>
          <w:kern w:val="0"/>
          <w:szCs w:val="21"/>
          <w:u w:val="single"/>
        </w:rPr>
        <w:t>时至</w:t>
      </w:r>
      <w:r>
        <w:rPr>
          <w:rFonts w:hint="eastAsia" w:ascii="宋体" w:hAnsi="宋体"/>
          <w:snapToGrid w:val="0"/>
          <w:kern w:val="0"/>
          <w:szCs w:val="21"/>
          <w:u w:val="single"/>
        </w:rPr>
        <w:t>2023</w:t>
      </w:r>
      <w:r>
        <w:rPr>
          <w:rFonts w:ascii="宋体" w:hAnsi="宋体"/>
          <w:snapToGrid w:val="0"/>
          <w:kern w:val="0"/>
          <w:szCs w:val="21"/>
          <w:u w:val="single"/>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6</w:t>
      </w:r>
      <w:r>
        <w:rPr>
          <w:rFonts w:ascii="宋体" w:hAnsi="宋体"/>
          <w:snapToGrid w:val="0"/>
          <w:kern w:val="0"/>
          <w:szCs w:val="21"/>
          <w:u w:val="single"/>
        </w:rPr>
        <w:t>月</w:t>
      </w:r>
      <w:r>
        <w:rPr>
          <w:rFonts w:hint="eastAsia" w:ascii="宋体" w:hAnsi="宋体"/>
          <w:snapToGrid w:val="0"/>
          <w:kern w:val="0"/>
          <w:szCs w:val="21"/>
          <w:u w:val="single"/>
          <w:lang w:val="en-US" w:eastAsia="zh-CN"/>
        </w:rPr>
        <w:t>2</w:t>
      </w:r>
      <w:r>
        <w:rPr>
          <w:rFonts w:ascii="宋体" w:hAnsi="宋体"/>
          <w:snapToGrid w:val="0"/>
          <w:kern w:val="0"/>
          <w:szCs w:val="21"/>
          <w:u w:val="single"/>
        </w:rPr>
        <w:t>日</w:t>
      </w:r>
      <w:r>
        <w:rPr>
          <w:rFonts w:hint="eastAsia" w:ascii="宋体" w:hAnsi="宋体"/>
          <w:snapToGrid w:val="0"/>
          <w:kern w:val="0"/>
          <w:szCs w:val="21"/>
          <w:u w:val="single"/>
        </w:rPr>
        <w:t>17</w:t>
      </w:r>
      <w:r>
        <w:rPr>
          <w:rFonts w:ascii="宋体" w:hAnsi="宋体"/>
          <w:snapToGrid w:val="0"/>
          <w:kern w:val="0"/>
          <w:szCs w:val="21"/>
          <w:u w:val="single"/>
        </w:rPr>
        <w:t>时</w:t>
      </w:r>
      <w:r>
        <w:rPr>
          <w:rFonts w:ascii="宋体" w:hAnsi="宋体"/>
          <w:kern w:val="0"/>
          <w:szCs w:val="21"/>
          <w:u w:val="single"/>
        </w:rPr>
        <w:t>。</w:t>
      </w:r>
      <w:r>
        <w:rPr>
          <w:rFonts w:ascii="宋体" w:hAnsi="宋体"/>
          <w:kern w:val="0"/>
          <w:szCs w:val="21"/>
        </w:rPr>
        <w:t>（北京时间，法定节假日除外）</w:t>
      </w:r>
    </w:p>
    <w:p>
      <w:pPr>
        <w:widowControl/>
        <w:shd w:val="clear" w:color="auto" w:fill="FFFFFF"/>
        <w:spacing w:line="360" w:lineRule="auto"/>
        <w:ind w:firstLine="420" w:firstLineChars="200"/>
        <w:jc w:val="left"/>
        <w:rPr>
          <w:rFonts w:ascii="宋体" w:hAnsi="宋体"/>
          <w:snapToGrid w:val="0"/>
          <w:kern w:val="0"/>
          <w:szCs w:val="21"/>
        </w:rPr>
      </w:pPr>
      <w:r>
        <w:rPr>
          <w:rFonts w:ascii="宋体" w:hAnsi="宋体"/>
          <w:snapToGrid w:val="0"/>
          <w:kern w:val="0"/>
          <w:szCs w:val="21"/>
        </w:rPr>
        <w:t>3.2 地点：</w:t>
      </w:r>
      <w:r>
        <w:rPr>
          <w:rFonts w:hint="eastAsia" w:ascii="宋体" w:hAnsi="宋体" w:cs="Arial"/>
          <w:spacing w:val="8"/>
          <w:kern w:val="0"/>
          <w:szCs w:val="21"/>
        </w:rPr>
        <w:t>南京市山西路8号金山大厦A座28楼2</w:t>
      </w:r>
      <w:r>
        <w:rPr>
          <w:rFonts w:ascii="宋体" w:hAnsi="宋体" w:cs="Arial"/>
          <w:spacing w:val="8"/>
          <w:kern w:val="0"/>
          <w:szCs w:val="21"/>
        </w:rPr>
        <w:t>810</w:t>
      </w:r>
      <w:r>
        <w:rPr>
          <w:rFonts w:hint="eastAsia" w:ascii="宋体" w:hAnsi="宋体" w:cs="Arial"/>
          <w:spacing w:val="8"/>
          <w:kern w:val="0"/>
          <w:szCs w:val="21"/>
        </w:rPr>
        <w:t>室</w:t>
      </w:r>
      <w:r>
        <w:rPr>
          <w:rFonts w:hint="eastAsia" w:ascii="宋体" w:hAnsi="宋体"/>
          <w:snapToGrid w:val="0"/>
          <w:kern w:val="0"/>
          <w:szCs w:val="21"/>
        </w:rPr>
        <w:t>。</w:t>
      </w:r>
    </w:p>
    <w:p>
      <w:pPr>
        <w:widowControl/>
        <w:shd w:val="clear" w:color="auto" w:fill="FFFFFF"/>
        <w:spacing w:line="360" w:lineRule="auto"/>
        <w:ind w:firstLine="422" w:firstLineChars="200"/>
        <w:jc w:val="left"/>
        <w:rPr>
          <w:rFonts w:ascii="宋体" w:hAnsi="宋体"/>
          <w:b/>
          <w:bCs/>
          <w:kern w:val="0"/>
          <w:szCs w:val="21"/>
        </w:rPr>
      </w:pPr>
      <w:r>
        <w:rPr>
          <w:rFonts w:ascii="宋体" w:hAnsi="宋体"/>
          <w:b/>
          <w:bCs/>
          <w:kern w:val="0"/>
          <w:szCs w:val="21"/>
        </w:rPr>
        <w:t>3.3</w:t>
      </w:r>
      <w:bookmarkStart w:id="10" w:name="_Hlk75168366"/>
      <w:r>
        <w:rPr>
          <w:rFonts w:hint="eastAsia" w:ascii="宋体" w:hAnsi="宋体"/>
          <w:b/>
          <w:bCs/>
          <w:kern w:val="0"/>
          <w:szCs w:val="21"/>
        </w:rPr>
        <w:t>具体获取</w:t>
      </w:r>
      <w:r>
        <w:rPr>
          <w:rFonts w:ascii="宋体" w:hAnsi="宋体"/>
          <w:b/>
          <w:bCs/>
          <w:kern w:val="0"/>
          <w:szCs w:val="21"/>
        </w:rPr>
        <w:t>方式：</w:t>
      </w:r>
      <w:bookmarkEnd w:id="10"/>
    </w:p>
    <w:p>
      <w:pPr>
        <w:widowControl/>
        <w:spacing w:line="360" w:lineRule="auto"/>
        <w:ind w:firstLine="452" w:firstLineChars="200"/>
        <w:jc w:val="left"/>
        <w:textAlignment w:val="baseline"/>
        <w:rPr>
          <w:rFonts w:ascii="宋体" w:hAnsi="宋体" w:cs="Arial"/>
          <w:spacing w:val="8"/>
          <w:kern w:val="0"/>
          <w:szCs w:val="21"/>
        </w:rPr>
      </w:pPr>
      <w:r>
        <w:rPr>
          <w:rFonts w:hint="eastAsia" w:ascii="宋体" w:hAnsi="宋体" w:cs="Arial"/>
          <w:spacing w:val="8"/>
          <w:kern w:val="0"/>
          <w:szCs w:val="21"/>
        </w:rPr>
        <w:t>（1）投标人获取招标文件前</w:t>
      </w:r>
      <w:r>
        <w:rPr>
          <w:rFonts w:ascii="宋体" w:hAnsi="宋体" w:cs="Arial"/>
          <w:spacing w:val="8"/>
          <w:kern w:val="0"/>
          <w:szCs w:val="21"/>
        </w:rPr>
        <w:t>须前往中招联合招标采购平台</w:t>
      </w:r>
      <w:r>
        <w:fldChar w:fldCharType="begin"/>
      </w:r>
      <w:r>
        <w:instrText xml:space="preserve"> HYPERLINK "http://www.365trade.com.cn/" </w:instrText>
      </w:r>
      <w:r>
        <w:fldChar w:fldCharType="separate"/>
      </w:r>
      <w:r>
        <w:rPr>
          <w:rFonts w:ascii="宋体" w:hAnsi="宋体" w:cs="Arial"/>
          <w:spacing w:val="8"/>
          <w:kern w:val="0"/>
          <w:szCs w:val="21"/>
        </w:rPr>
        <w:t>http://www.365trade.com.cn/</w:t>
      </w:r>
      <w:r>
        <w:rPr>
          <w:rFonts w:ascii="宋体" w:hAnsi="宋体" w:cs="Arial"/>
          <w:spacing w:val="8"/>
          <w:kern w:val="0"/>
          <w:szCs w:val="21"/>
        </w:rPr>
        <w:fldChar w:fldCharType="end"/>
      </w:r>
      <w:r>
        <w:rPr>
          <w:rFonts w:ascii="宋体" w:hAnsi="宋体" w:cs="Arial"/>
          <w:spacing w:val="8"/>
          <w:kern w:val="0"/>
          <w:szCs w:val="21"/>
        </w:rPr>
        <w:t>（以下简称平台）免费注册，平台将对</w:t>
      </w:r>
      <w:r>
        <w:rPr>
          <w:rFonts w:hint="eastAsia" w:ascii="宋体" w:hAnsi="宋体" w:cs="Arial"/>
          <w:spacing w:val="8"/>
          <w:kern w:val="0"/>
          <w:szCs w:val="21"/>
        </w:rPr>
        <w:t>投标人</w:t>
      </w:r>
      <w:r>
        <w:rPr>
          <w:rFonts w:ascii="宋体" w:hAnsi="宋体" w:cs="Arial"/>
          <w:spacing w:val="8"/>
          <w:kern w:val="0"/>
          <w:szCs w:val="21"/>
        </w:rPr>
        <w:t>注册信息与其提供扫描件信息进行一致性检查。注册为一次性工作，以后若有需要可变更及完善相关信息；同一单位不同的经办人可各自建立不同账户。</w:t>
      </w:r>
    </w:p>
    <w:p>
      <w:pPr>
        <w:widowControl/>
        <w:spacing w:line="360" w:lineRule="auto"/>
        <w:ind w:firstLine="452" w:firstLineChars="200"/>
        <w:jc w:val="left"/>
        <w:textAlignment w:val="baseline"/>
        <w:rPr>
          <w:rFonts w:ascii="宋体" w:hAnsi="宋体" w:cs="Arial"/>
          <w:spacing w:val="8"/>
          <w:kern w:val="0"/>
          <w:szCs w:val="21"/>
        </w:rPr>
      </w:pPr>
      <w:r>
        <w:rPr>
          <w:rFonts w:ascii="宋体" w:hAnsi="宋体" w:cs="Arial"/>
          <w:spacing w:val="8"/>
          <w:kern w:val="0"/>
          <w:szCs w:val="21"/>
        </w:rPr>
        <w:t>（2）</w:t>
      </w:r>
      <w:r>
        <w:rPr>
          <w:rFonts w:hint="eastAsia" w:ascii="宋体" w:hAnsi="宋体" w:cs="Arial"/>
          <w:spacing w:val="8"/>
          <w:kern w:val="0"/>
          <w:szCs w:val="21"/>
        </w:rPr>
        <w:t>投标人</w:t>
      </w:r>
      <w:r>
        <w:rPr>
          <w:rFonts w:ascii="宋体" w:hAnsi="宋体" w:cs="Arial"/>
          <w:spacing w:val="8"/>
          <w:kern w:val="0"/>
          <w:szCs w:val="21"/>
        </w:rPr>
        <w:t>应充分考虑平台注册、信息检查、资料上传、费用支付所需时间，</w:t>
      </w:r>
      <w:r>
        <w:rPr>
          <w:rFonts w:hint="eastAsia" w:ascii="宋体" w:hAnsi="宋体" w:cs="Arial"/>
          <w:spacing w:val="8"/>
          <w:kern w:val="0"/>
          <w:szCs w:val="21"/>
        </w:rPr>
        <w:t>务必在本公告规定的招标文件获取时间前</w:t>
      </w:r>
      <w:r>
        <w:rPr>
          <w:rFonts w:ascii="宋体" w:hAnsi="宋体" w:cs="Arial"/>
          <w:spacing w:val="8"/>
          <w:kern w:val="0"/>
          <w:szCs w:val="21"/>
        </w:rPr>
        <w:t>完成</w:t>
      </w:r>
      <w:r>
        <w:rPr>
          <w:rFonts w:hint="eastAsia" w:ascii="宋体" w:hAnsi="宋体" w:cs="Arial"/>
          <w:spacing w:val="8"/>
          <w:kern w:val="0"/>
          <w:szCs w:val="21"/>
        </w:rPr>
        <w:t>招标文件服务费</w:t>
      </w:r>
      <w:r>
        <w:rPr>
          <w:rFonts w:ascii="宋体" w:hAnsi="宋体" w:cs="Arial"/>
          <w:spacing w:val="8"/>
          <w:kern w:val="0"/>
          <w:szCs w:val="21"/>
        </w:rPr>
        <w:t>支付，否则将无法保证获取招标文件。</w:t>
      </w:r>
      <w:r>
        <w:rPr>
          <w:rFonts w:hint="eastAsia" w:ascii="宋体" w:hAnsi="宋体" w:cs="Arial"/>
          <w:spacing w:val="8"/>
          <w:kern w:val="0"/>
          <w:szCs w:val="21"/>
        </w:rPr>
        <w:t>支付方式：</w:t>
      </w:r>
      <w:r>
        <w:rPr>
          <w:rFonts w:ascii="宋体" w:hAnsi="宋体" w:cs="Arial"/>
          <w:spacing w:val="8"/>
          <w:kern w:val="0"/>
          <w:szCs w:val="21"/>
        </w:rPr>
        <w:t>登录平台</w:t>
      </w:r>
      <w:r>
        <w:rPr>
          <w:rFonts w:hint="eastAsia" w:ascii="宋体" w:hAnsi="宋体" w:cs="Arial"/>
          <w:spacing w:val="8"/>
          <w:kern w:val="0"/>
          <w:szCs w:val="21"/>
        </w:rPr>
        <w:t>（网址：</w:t>
      </w:r>
      <w:r>
        <w:fldChar w:fldCharType="begin"/>
      </w:r>
      <w:r>
        <w:instrText xml:space="preserve"> HYPERLINK "http://www.365trade.com.cn/" </w:instrText>
      </w:r>
      <w:r>
        <w:fldChar w:fldCharType="separate"/>
      </w:r>
      <w:r>
        <w:rPr>
          <w:rFonts w:ascii="宋体" w:hAnsi="宋体" w:cs="Arial"/>
          <w:spacing w:val="8"/>
          <w:kern w:val="0"/>
          <w:szCs w:val="21"/>
        </w:rPr>
        <w:t>http://www.365trade.com.cn/</w:t>
      </w:r>
      <w:r>
        <w:rPr>
          <w:rFonts w:ascii="宋体" w:hAnsi="宋体" w:cs="Arial"/>
          <w:spacing w:val="8"/>
          <w:kern w:val="0"/>
          <w:szCs w:val="21"/>
        </w:rPr>
        <w:fldChar w:fldCharType="end"/>
      </w:r>
      <w:r>
        <w:rPr>
          <w:rFonts w:hint="eastAsia" w:ascii="宋体" w:hAnsi="宋体" w:cs="Arial"/>
          <w:spacing w:val="8"/>
          <w:kern w:val="0"/>
          <w:szCs w:val="21"/>
        </w:rPr>
        <w:t>）</w:t>
      </w:r>
    </w:p>
    <w:p>
      <w:pPr>
        <w:widowControl/>
        <w:spacing w:line="360" w:lineRule="auto"/>
        <w:ind w:firstLine="454" w:firstLineChars="200"/>
        <w:jc w:val="left"/>
        <w:textAlignment w:val="baseline"/>
        <w:rPr>
          <w:rFonts w:ascii="宋体" w:hAnsi="宋体" w:cs="Arial"/>
          <w:spacing w:val="8"/>
          <w:kern w:val="0"/>
          <w:szCs w:val="21"/>
        </w:rPr>
      </w:pPr>
      <w:r>
        <w:rPr>
          <w:rFonts w:ascii="宋体" w:hAnsi="宋体" w:cs="Arial"/>
          <w:b/>
          <w:bCs/>
          <w:spacing w:val="8"/>
          <w:kern w:val="0"/>
          <w:szCs w:val="21"/>
        </w:rPr>
        <w:t>（3）</w:t>
      </w:r>
      <w:r>
        <w:rPr>
          <w:rFonts w:hint="eastAsia" w:ascii="宋体" w:hAnsi="宋体" w:cs="Arial"/>
          <w:b/>
          <w:bCs/>
          <w:spacing w:val="8"/>
          <w:kern w:val="0"/>
          <w:szCs w:val="21"/>
        </w:rPr>
        <w:t>投标人可通过平台下载招标文件电子档，纸质文件在招标文件电子档下载成功后自行联系代理机构获取，获取地址：南京市山西路8号金山大厦A座28楼2</w:t>
      </w:r>
      <w:r>
        <w:rPr>
          <w:rFonts w:ascii="宋体" w:hAnsi="宋体" w:cs="Arial"/>
          <w:b/>
          <w:bCs/>
          <w:spacing w:val="8"/>
          <w:kern w:val="0"/>
          <w:szCs w:val="21"/>
        </w:rPr>
        <w:t>810</w:t>
      </w:r>
      <w:r>
        <w:rPr>
          <w:rFonts w:hint="eastAsia" w:ascii="宋体" w:hAnsi="宋体" w:cs="Arial"/>
          <w:b/>
          <w:bCs/>
          <w:spacing w:val="8"/>
          <w:kern w:val="0"/>
          <w:szCs w:val="21"/>
        </w:rPr>
        <w:t>室（招标文件电子档与纸质文件不一致的，以纸质文件为准）及获取招标文件服务费发票，</w:t>
      </w:r>
      <w:r>
        <w:rPr>
          <w:rFonts w:ascii="宋体" w:hAnsi="宋体" w:cs="Arial"/>
          <w:b/>
          <w:bCs/>
          <w:spacing w:val="8"/>
          <w:kern w:val="0"/>
          <w:szCs w:val="21"/>
        </w:rPr>
        <w:t>发票由采购代理机构出具</w:t>
      </w:r>
      <w:r>
        <w:rPr>
          <w:rFonts w:hint="eastAsia" w:ascii="宋体" w:hAnsi="宋体" w:cs="Arial"/>
          <w:b/>
          <w:bCs/>
          <w:spacing w:val="8"/>
          <w:kern w:val="0"/>
          <w:szCs w:val="21"/>
        </w:rPr>
        <w:t>。</w:t>
      </w:r>
      <w:r>
        <w:rPr>
          <w:rFonts w:hint="eastAsia" w:ascii="宋体" w:hAnsi="宋体" w:cs="Arial"/>
          <w:spacing w:val="8"/>
          <w:kern w:val="0"/>
          <w:szCs w:val="21"/>
        </w:rPr>
        <w:t>投标人</w:t>
      </w:r>
      <w:r>
        <w:rPr>
          <w:rFonts w:ascii="宋体" w:hAnsi="宋体" w:cs="Arial"/>
          <w:spacing w:val="8"/>
          <w:kern w:val="0"/>
          <w:szCs w:val="21"/>
        </w:rPr>
        <w:t>通过平台“发票管理”模块进行操作。</w:t>
      </w:r>
      <w:r>
        <w:rPr>
          <w:rFonts w:hint="eastAsia" w:ascii="宋体" w:hAnsi="宋体" w:cs="Arial"/>
          <w:spacing w:val="8"/>
          <w:kern w:val="0"/>
          <w:szCs w:val="21"/>
        </w:rPr>
        <w:t>投标人</w:t>
      </w:r>
      <w:r>
        <w:rPr>
          <w:rFonts w:ascii="宋体" w:hAnsi="宋体" w:cs="Arial"/>
          <w:spacing w:val="8"/>
          <w:kern w:val="0"/>
          <w:szCs w:val="21"/>
        </w:rPr>
        <w:t>选择出具增值税普通发票的，可在支付后3日内登陆前述模块下载增值税电子普通发票；选择出具增值税专用发票的，可在开标时在开标现场领取；平台服务费由中招联合信息股份有限公司（以下简称平台公司）</w:t>
      </w:r>
      <w:r>
        <w:rPr>
          <w:rFonts w:hint="eastAsia" w:ascii="宋体" w:hAnsi="宋体" w:cs="Arial"/>
          <w:spacing w:val="8"/>
          <w:kern w:val="0"/>
          <w:szCs w:val="21"/>
        </w:rPr>
        <w:t>收取，发票由</w:t>
      </w:r>
      <w:r>
        <w:rPr>
          <w:rFonts w:ascii="宋体" w:hAnsi="宋体" w:cs="Arial"/>
          <w:spacing w:val="8"/>
          <w:kern w:val="0"/>
          <w:szCs w:val="21"/>
        </w:rPr>
        <w:t>平台公司出具增值税电子普通发票，下载者可在支付后3日内登陆前述模块下载。非因</w:t>
      </w:r>
      <w:r>
        <w:rPr>
          <w:rFonts w:hint="eastAsia" w:ascii="宋体" w:hAnsi="宋体" w:cs="Arial"/>
          <w:spacing w:val="8"/>
          <w:kern w:val="0"/>
          <w:szCs w:val="21"/>
        </w:rPr>
        <w:t>招标</w:t>
      </w:r>
      <w:r>
        <w:rPr>
          <w:rFonts w:ascii="宋体" w:hAnsi="宋体" w:cs="Arial"/>
          <w:spacing w:val="8"/>
          <w:kern w:val="0"/>
          <w:szCs w:val="21"/>
        </w:rPr>
        <w:t>代理机构或平台公司原因，发票一经开具不予退换。</w:t>
      </w:r>
    </w:p>
    <w:p>
      <w:pPr>
        <w:widowControl/>
        <w:spacing w:line="360" w:lineRule="auto"/>
        <w:ind w:firstLine="452" w:firstLineChars="200"/>
        <w:jc w:val="left"/>
        <w:textAlignment w:val="baseline"/>
        <w:rPr>
          <w:rFonts w:ascii="宋体" w:hAnsi="宋体" w:cs="Arial"/>
          <w:spacing w:val="8"/>
          <w:kern w:val="0"/>
          <w:szCs w:val="21"/>
        </w:rPr>
      </w:pPr>
      <w:r>
        <w:rPr>
          <w:rFonts w:ascii="宋体" w:hAnsi="宋体" w:cs="Arial"/>
          <w:spacing w:val="8"/>
          <w:kern w:val="0"/>
          <w:szCs w:val="21"/>
        </w:rPr>
        <w:t>（</w:t>
      </w:r>
      <w:r>
        <w:rPr>
          <w:rFonts w:hint="eastAsia" w:ascii="宋体" w:hAnsi="宋体" w:cs="Arial"/>
          <w:spacing w:val="8"/>
          <w:kern w:val="0"/>
          <w:szCs w:val="21"/>
        </w:rPr>
        <w:t>4</w:t>
      </w:r>
      <w:r>
        <w:rPr>
          <w:rFonts w:ascii="宋体" w:hAnsi="宋体" w:cs="Arial"/>
          <w:spacing w:val="8"/>
          <w:kern w:val="0"/>
          <w:szCs w:val="21"/>
        </w:rPr>
        <w:t>）平台网站首页“帮助中心”提供操作手册，</w:t>
      </w:r>
      <w:r>
        <w:rPr>
          <w:rFonts w:hint="eastAsia" w:ascii="宋体" w:hAnsi="宋体" w:cs="Arial"/>
          <w:spacing w:val="8"/>
          <w:kern w:val="0"/>
          <w:szCs w:val="21"/>
        </w:rPr>
        <w:t>投标人</w:t>
      </w:r>
      <w:r>
        <w:rPr>
          <w:rFonts w:ascii="宋体" w:hAnsi="宋体" w:cs="Arial"/>
          <w:spacing w:val="8"/>
          <w:kern w:val="0"/>
          <w:szCs w:val="21"/>
        </w:rPr>
        <w:t>可以下载并根据操作手册提示进行注册、登录、支付、发票开具领取等操作。平台咨询电话为：010-86397110，服务时间为工作日上午9时至12时，下午1时到6时。平台会通过短信提醒下载者进行注册、支付、下载等操作。</w:t>
      </w:r>
    </w:p>
    <w:p>
      <w:pPr>
        <w:widowControl/>
        <w:spacing w:line="360" w:lineRule="auto"/>
        <w:ind w:firstLine="452" w:firstLineChars="200"/>
        <w:jc w:val="left"/>
        <w:textAlignment w:val="baseline"/>
        <w:rPr>
          <w:rFonts w:ascii="宋体" w:hAnsi="宋体" w:cstheme="minorEastAsia"/>
          <w:spacing w:val="8"/>
          <w:kern w:val="0"/>
          <w:szCs w:val="21"/>
        </w:rPr>
      </w:pPr>
      <w:r>
        <w:rPr>
          <w:rFonts w:ascii="宋体" w:hAnsi="宋体" w:cs="Arial"/>
          <w:spacing w:val="8"/>
          <w:kern w:val="0"/>
          <w:szCs w:val="21"/>
        </w:rPr>
        <w:t>（</w:t>
      </w:r>
      <w:r>
        <w:rPr>
          <w:rFonts w:hint="eastAsia" w:ascii="宋体" w:hAnsi="宋体" w:cs="Arial"/>
          <w:spacing w:val="8"/>
          <w:kern w:val="0"/>
          <w:szCs w:val="21"/>
        </w:rPr>
        <w:t>5</w:t>
      </w:r>
      <w:r>
        <w:rPr>
          <w:rFonts w:ascii="宋体" w:hAnsi="宋体" w:cs="Arial"/>
          <w:spacing w:val="8"/>
          <w:kern w:val="0"/>
          <w:szCs w:val="21"/>
        </w:rPr>
        <w:t>）联合体投标（如允许）的，联合体各方应当指定牵头人，并授权其以自身名义在平台办理注册、</w:t>
      </w:r>
      <w:r>
        <w:rPr>
          <w:rFonts w:hint="eastAsia" w:ascii="宋体" w:hAnsi="宋体" w:cs="Arial"/>
          <w:spacing w:val="8"/>
          <w:kern w:val="0"/>
          <w:szCs w:val="21"/>
        </w:rPr>
        <w:t>招标文件服务费支付</w:t>
      </w:r>
      <w:r>
        <w:rPr>
          <w:rFonts w:ascii="宋体" w:hAnsi="宋体" w:cs="Arial"/>
          <w:spacing w:val="8"/>
          <w:kern w:val="0"/>
          <w:szCs w:val="21"/>
        </w:rPr>
        <w:t>、缴纳保证金等手续，其在平台的办理行为，对联合体各方均具有约束力。</w:t>
      </w:r>
    </w:p>
    <w:p>
      <w:pPr>
        <w:widowControl/>
        <w:spacing w:line="360" w:lineRule="auto"/>
        <w:ind w:firstLine="360"/>
        <w:rPr>
          <w:rFonts w:ascii="宋体" w:hAnsi="宋体" w:cs="宋体"/>
          <w:szCs w:val="21"/>
        </w:rPr>
      </w:pPr>
      <w:r>
        <w:rPr>
          <w:rFonts w:hint="eastAsia" w:ascii="宋体" w:hAnsi="宋体" w:cstheme="minorEastAsia"/>
          <w:spacing w:val="8"/>
          <w:kern w:val="0"/>
          <w:szCs w:val="21"/>
        </w:rPr>
        <w:t>3.</w:t>
      </w:r>
      <w:r>
        <w:rPr>
          <w:rFonts w:ascii="宋体" w:hAnsi="宋体" w:cstheme="minorEastAsia"/>
          <w:spacing w:val="8"/>
          <w:kern w:val="0"/>
          <w:szCs w:val="21"/>
        </w:rPr>
        <w:t>4</w:t>
      </w:r>
      <w:r>
        <w:rPr>
          <w:rFonts w:hint="eastAsia" w:ascii="宋体" w:hAnsi="宋体" w:cs="宋体"/>
          <w:spacing w:val="8"/>
          <w:kern w:val="0"/>
          <w:szCs w:val="21"/>
        </w:rPr>
        <w:t>招标文件服务费</w:t>
      </w:r>
      <w:r>
        <w:rPr>
          <w:rFonts w:hint="eastAsia" w:ascii="宋体" w:hAnsi="宋体" w:cs="宋体"/>
          <w:szCs w:val="21"/>
        </w:rPr>
        <w:t>每套</w:t>
      </w:r>
      <w:r>
        <w:rPr>
          <w:rFonts w:ascii="宋体" w:hAnsi="宋体" w:cs="Arial"/>
          <w:szCs w:val="21"/>
        </w:rPr>
        <w:t>300</w:t>
      </w:r>
      <w:r>
        <w:rPr>
          <w:rFonts w:hint="eastAsia" w:ascii="宋体" w:hAnsi="宋体" w:cs="宋体"/>
          <w:szCs w:val="21"/>
        </w:rPr>
        <w:t>元，下载后不退。</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四、</w:t>
      </w:r>
      <w:bookmarkStart w:id="11" w:name="_Hlk44579106"/>
      <w:r>
        <w:rPr>
          <w:rFonts w:hint="eastAsia" w:ascii="宋体" w:hAnsi="宋体" w:cs="Arial"/>
          <w:b/>
          <w:kern w:val="0"/>
          <w:szCs w:val="21"/>
        </w:rPr>
        <w:t>提交投标文件开始时间、截止时间和地点</w:t>
      </w:r>
      <w:bookmarkEnd w:id="11"/>
    </w:p>
    <w:p>
      <w:pPr>
        <w:widowControl/>
        <w:shd w:val="clear" w:color="auto" w:fill="FFFFFF"/>
        <w:spacing w:line="360" w:lineRule="auto"/>
        <w:ind w:firstLine="420" w:firstLineChars="200"/>
        <w:jc w:val="left"/>
        <w:rPr>
          <w:rFonts w:ascii="宋体" w:hAnsi="宋体" w:cs="Arial"/>
          <w:color w:val="FF0000"/>
          <w:kern w:val="0"/>
          <w:szCs w:val="21"/>
          <w:u w:val="single"/>
        </w:rPr>
      </w:pPr>
      <w:bookmarkStart w:id="12" w:name="_Hlk44575721"/>
      <w:r>
        <w:rPr>
          <w:rFonts w:hint="eastAsia" w:ascii="宋体" w:hAnsi="宋体" w:cs="Arial"/>
          <w:kern w:val="0"/>
          <w:szCs w:val="21"/>
        </w:rPr>
        <w:t>4.1时间：</w:t>
      </w:r>
      <w:bookmarkEnd w:id="12"/>
      <w:r>
        <w:rPr>
          <w:rFonts w:hint="eastAsia" w:ascii="宋体" w:hAnsi="宋体" w:cs="Arial"/>
          <w:kern w:val="0"/>
          <w:szCs w:val="21"/>
        </w:rPr>
        <w:t>2023年</w:t>
      </w:r>
      <w:r>
        <w:rPr>
          <w:rFonts w:hint="eastAsia" w:ascii="宋体" w:hAnsi="宋体" w:cs="Arial"/>
          <w:kern w:val="0"/>
          <w:szCs w:val="21"/>
          <w:lang w:val="en-US" w:eastAsia="zh-CN"/>
        </w:rPr>
        <w:t>6</w:t>
      </w:r>
      <w:r>
        <w:rPr>
          <w:rFonts w:hint="eastAsia" w:ascii="宋体" w:hAnsi="宋体" w:cs="Arial"/>
          <w:kern w:val="0"/>
          <w:szCs w:val="21"/>
        </w:rPr>
        <w:t>月</w:t>
      </w:r>
      <w:r>
        <w:rPr>
          <w:rFonts w:hint="eastAsia" w:ascii="宋体" w:hAnsi="宋体" w:cs="Arial"/>
          <w:kern w:val="0"/>
          <w:szCs w:val="21"/>
          <w:lang w:val="en-US" w:eastAsia="zh-CN"/>
        </w:rPr>
        <w:t>16</w:t>
      </w:r>
      <w:r>
        <w:rPr>
          <w:rFonts w:hint="eastAsia" w:ascii="宋体" w:hAnsi="宋体" w:cs="Arial"/>
          <w:kern w:val="0"/>
          <w:szCs w:val="21"/>
        </w:rPr>
        <w:t>日14</w:t>
      </w:r>
      <w:r>
        <w:rPr>
          <w:rFonts w:hint="eastAsia" w:cs="Arial" w:asciiTheme="minorEastAsia" w:hAnsiTheme="minorEastAsia" w:eastAsiaTheme="minorEastAsia"/>
          <w:bCs/>
          <w:szCs w:val="21"/>
        </w:rPr>
        <w:t>:00-14：30</w:t>
      </w:r>
      <w:r>
        <w:rPr>
          <w:rFonts w:asciiTheme="minorEastAsia" w:hAnsiTheme="minorEastAsia" w:eastAsiaTheme="minorEastAsia"/>
          <w:spacing w:val="8"/>
          <w:kern w:val="0"/>
          <w:szCs w:val="21"/>
        </w:rPr>
        <w:t>（北京时间）</w:t>
      </w:r>
      <w:r>
        <w:rPr>
          <w:rFonts w:hint="eastAsia" w:ascii="宋体" w:hAnsi="宋体" w:cs="Arial"/>
          <w:kern w:val="0"/>
          <w:szCs w:val="21"/>
        </w:rPr>
        <w:t>；</w:t>
      </w:r>
    </w:p>
    <w:p>
      <w:pPr>
        <w:widowControl/>
        <w:shd w:val="clear" w:color="auto" w:fill="FFFFFF"/>
        <w:spacing w:line="360" w:lineRule="auto"/>
        <w:ind w:firstLine="420" w:firstLineChars="200"/>
        <w:jc w:val="left"/>
        <w:rPr>
          <w:rFonts w:ascii="宋体" w:hAnsi="宋体" w:cs="Arial"/>
          <w:kern w:val="0"/>
          <w:szCs w:val="21"/>
        </w:rPr>
      </w:pPr>
      <w:r>
        <w:rPr>
          <w:rFonts w:hint="eastAsia" w:ascii="宋体" w:hAnsi="宋体" w:cs="Arial"/>
          <w:kern w:val="0"/>
          <w:szCs w:val="21"/>
        </w:rPr>
        <w:t>4.2</w:t>
      </w:r>
      <w:r>
        <w:rPr>
          <w:rFonts w:ascii="宋体" w:hAnsi="宋体" w:cs="Arial"/>
          <w:kern w:val="0"/>
          <w:szCs w:val="21"/>
        </w:rPr>
        <w:t>地点：</w:t>
      </w:r>
      <w:r>
        <w:rPr>
          <w:rFonts w:hint="eastAsia" w:ascii="宋体" w:hAnsi="宋体" w:cs="Arial"/>
          <w:kern w:val="0"/>
          <w:szCs w:val="21"/>
        </w:rPr>
        <w:t>南京市山西路8号金山大厦A座28楼2809室。</w:t>
      </w:r>
    </w:p>
    <w:p>
      <w:pPr>
        <w:widowControl/>
        <w:shd w:val="clear" w:color="auto" w:fill="FFFFFF"/>
        <w:spacing w:line="360" w:lineRule="auto"/>
        <w:ind w:firstLine="420" w:firstLineChars="200"/>
        <w:jc w:val="left"/>
        <w:rPr>
          <w:rFonts w:ascii="宋体" w:hAnsi="宋体" w:cs="Arial"/>
          <w:b/>
          <w:bCs/>
          <w:color w:val="FF0000"/>
          <w:kern w:val="0"/>
          <w:szCs w:val="21"/>
        </w:rPr>
      </w:pPr>
      <w:r>
        <w:rPr>
          <w:rFonts w:hint="eastAsia" w:ascii="宋体" w:hAnsi="宋体" w:cs="Arial"/>
          <w:kern w:val="0"/>
          <w:szCs w:val="21"/>
        </w:rPr>
        <w:t>4.3</w:t>
      </w:r>
      <w:r>
        <w:rPr>
          <w:rFonts w:ascii="宋体" w:hAnsi="宋体" w:cs="Arial"/>
          <w:kern w:val="0"/>
          <w:szCs w:val="21"/>
        </w:rPr>
        <w:t xml:space="preserve"> </w:t>
      </w:r>
      <w:bookmarkStart w:id="13" w:name="_Hlk44578960"/>
      <w:r>
        <w:rPr>
          <w:rFonts w:hint="eastAsia" w:ascii="宋体" w:hAnsi="宋体" w:cs="Arial"/>
          <w:kern w:val="0"/>
          <w:szCs w:val="21"/>
        </w:rPr>
        <w:t>投标人因故无法在投标文件接收截止时间之前将投标文件亲自送达的，可采用邮寄的方式送达（邮寄地址：南京市山西路8号金山大厦A座28层 吴奇&lt;收&gt;13245281227）。采取邮寄方式的，须保证投标文件在投标截止时间之前送达，并及时与采购代理机构联系。投标人需自行承担邮寄标书丢失、破损等风险，投标人需单独另附一份法定代表人或委托代理人姓名、电话（手机号码）表，以便登记投标人及联系投标人使用。如有其它不解投标事宜请及时与采购代理联系。</w:t>
      </w:r>
      <w:bookmarkEnd w:id="13"/>
    </w:p>
    <w:p>
      <w:pPr>
        <w:widowControl/>
        <w:shd w:val="clear" w:color="auto" w:fill="FFFFFF"/>
        <w:spacing w:line="360" w:lineRule="auto"/>
        <w:ind w:firstLine="422" w:firstLineChars="200"/>
        <w:jc w:val="left"/>
        <w:rPr>
          <w:rFonts w:ascii="宋体" w:hAnsi="宋体"/>
          <w:b/>
          <w:szCs w:val="21"/>
        </w:rPr>
      </w:pPr>
      <w:r>
        <w:rPr>
          <w:rFonts w:hint="eastAsia" w:ascii="宋体" w:hAnsi="宋体"/>
          <w:b/>
          <w:szCs w:val="21"/>
        </w:rPr>
        <w:t>五、开标时间</w:t>
      </w:r>
    </w:p>
    <w:p>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5</w:t>
      </w:r>
      <w:r>
        <w:rPr>
          <w:rFonts w:ascii="宋体" w:hAnsi="宋体"/>
          <w:kern w:val="0"/>
          <w:szCs w:val="21"/>
        </w:rPr>
        <w:t>.1</w:t>
      </w:r>
      <w:r>
        <w:rPr>
          <w:rFonts w:hint="eastAsia" w:ascii="宋体" w:hAnsi="宋体" w:cs="Arial"/>
          <w:kern w:val="0"/>
          <w:szCs w:val="21"/>
        </w:rPr>
        <w:t>时间：2023年</w:t>
      </w:r>
      <w:r>
        <w:rPr>
          <w:rFonts w:hint="eastAsia" w:ascii="宋体" w:hAnsi="宋体" w:cs="Arial"/>
          <w:kern w:val="0"/>
          <w:szCs w:val="21"/>
          <w:lang w:val="en-US" w:eastAsia="zh-CN"/>
        </w:rPr>
        <w:t>6</w:t>
      </w:r>
      <w:r>
        <w:rPr>
          <w:rFonts w:hint="eastAsia" w:ascii="宋体" w:hAnsi="宋体" w:cs="Arial"/>
          <w:kern w:val="0"/>
          <w:szCs w:val="21"/>
        </w:rPr>
        <w:t>月</w:t>
      </w:r>
      <w:r>
        <w:rPr>
          <w:rFonts w:hint="eastAsia" w:ascii="宋体" w:hAnsi="宋体" w:cs="Arial"/>
          <w:kern w:val="0"/>
          <w:szCs w:val="21"/>
          <w:lang w:val="en-US" w:eastAsia="zh-CN"/>
        </w:rPr>
        <w:t>16</w:t>
      </w:r>
      <w:r>
        <w:rPr>
          <w:rFonts w:hint="eastAsia" w:ascii="宋体" w:hAnsi="宋体" w:cs="Arial"/>
          <w:kern w:val="0"/>
          <w:szCs w:val="21"/>
        </w:rPr>
        <w:t>日</w:t>
      </w:r>
      <w:bookmarkStart w:id="14" w:name="_Hlk44579715"/>
      <w:r>
        <w:rPr>
          <w:rFonts w:hint="eastAsia" w:ascii="宋体" w:hAnsi="宋体" w:cs="Arial"/>
          <w:kern w:val="0"/>
          <w:szCs w:val="21"/>
        </w:rPr>
        <w:t>14</w:t>
      </w:r>
      <w:r>
        <w:rPr>
          <w:rFonts w:hint="eastAsia" w:cs="Arial" w:asciiTheme="minorEastAsia" w:hAnsiTheme="minorEastAsia" w:eastAsiaTheme="minorEastAsia"/>
          <w:bCs/>
          <w:szCs w:val="21"/>
        </w:rPr>
        <w:t>:30</w:t>
      </w:r>
      <w:r>
        <w:rPr>
          <w:rFonts w:hint="eastAsia" w:ascii="宋体" w:hAnsi="宋体" w:cs="Arial"/>
          <w:bCs/>
          <w:kern w:val="0"/>
          <w:szCs w:val="21"/>
        </w:rPr>
        <w:t>（北京时间）</w:t>
      </w:r>
      <w:bookmarkEnd w:id="14"/>
      <w:r>
        <w:rPr>
          <w:rFonts w:hint="eastAsia" w:cs="Arial" w:asciiTheme="minorEastAsia" w:hAnsiTheme="minorEastAsia" w:eastAsiaTheme="minorEastAsia"/>
          <w:spacing w:val="8"/>
          <w:kern w:val="0"/>
          <w:szCs w:val="21"/>
        </w:rPr>
        <w:t>；</w:t>
      </w:r>
    </w:p>
    <w:p>
      <w:pPr>
        <w:widowControl/>
        <w:shd w:val="clear" w:color="auto" w:fill="FFFFFF"/>
        <w:spacing w:line="360" w:lineRule="auto"/>
        <w:ind w:firstLine="420" w:firstLineChars="200"/>
        <w:jc w:val="left"/>
        <w:rPr>
          <w:rFonts w:ascii="宋体" w:hAnsi="宋体"/>
          <w:b/>
          <w:szCs w:val="21"/>
        </w:rPr>
      </w:pPr>
      <w:r>
        <w:rPr>
          <w:rFonts w:hint="eastAsia" w:ascii="宋体" w:hAnsi="宋体"/>
          <w:kern w:val="0"/>
          <w:szCs w:val="21"/>
        </w:rPr>
        <w:t>5</w:t>
      </w:r>
      <w:r>
        <w:rPr>
          <w:rFonts w:ascii="宋体" w:hAnsi="宋体"/>
          <w:kern w:val="0"/>
          <w:szCs w:val="21"/>
        </w:rPr>
        <w:t>.2地点：南京市山西路</w:t>
      </w:r>
      <w:r>
        <w:rPr>
          <w:rFonts w:hint="eastAsia" w:ascii="宋体" w:hAnsi="宋体"/>
          <w:kern w:val="0"/>
          <w:szCs w:val="21"/>
        </w:rPr>
        <w:t>8</w:t>
      </w:r>
      <w:r>
        <w:rPr>
          <w:rFonts w:ascii="宋体" w:hAnsi="宋体"/>
          <w:kern w:val="0"/>
          <w:szCs w:val="21"/>
        </w:rPr>
        <w:t>号</w:t>
      </w:r>
      <w:r>
        <w:rPr>
          <w:rFonts w:hint="eastAsia" w:ascii="宋体" w:hAnsi="宋体"/>
          <w:kern w:val="0"/>
          <w:szCs w:val="21"/>
        </w:rPr>
        <w:t>金山</w:t>
      </w:r>
      <w:r>
        <w:rPr>
          <w:rFonts w:ascii="宋体" w:hAnsi="宋体"/>
          <w:kern w:val="0"/>
          <w:szCs w:val="21"/>
        </w:rPr>
        <w:t>大厦</w:t>
      </w:r>
      <w:r>
        <w:rPr>
          <w:rFonts w:hint="eastAsia" w:ascii="宋体" w:hAnsi="宋体"/>
          <w:kern w:val="0"/>
          <w:szCs w:val="21"/>
        </w:rPr>
        <w:t>A座28楼</w:t>
      </w:r>
      <w:r>
        <w:rPr>
          <w:rFonts w:ascii="宋体" w:hAnsi="宋体"/>
          <w:kern w:val="0"/>
          <w:szCs w:val="21"/>
        </w:rPr>
        <w:t xml:space="preserve"> </w:t>
      </w:r>
      <w:r>
        <w:rPr>
          <w:rFonts w:hint="eastAsia" w:ascii="宋体" w:hAnsi="宋体"/>
          <w:kern w:val="0"/>
          <w:szCs w:val="21"/>
        </w:rPr>
        <w:t>2809室。</w:t>
      </w:r>
    </w:p>
    <w:p>
      <w:pPr>
        <w:widowControl/>
        <w:shd w:val="clear" w:color="auto" w:fill="FFFFFF"/>
        <w:spacing w:line="360" w:lineRule="auto"/>
        <w:ind w:firstLine="422" w:firstLineChars="200"/>
        <w:jc w:val="left"/>
        <w:rPr>
          <w:rFonts w:ascii="宋体" w:hAnsi="宋体" w:cs="Arial"/>
          <w:b/>
          <w:kern w:val="0"/>
          <w:szCs w:val="21"/>
        </w:rPr>
      </w:pPr>
      <w:r>
        <w:rPr>
          <w:rFonts w:hint="eastAsia" w:ascii="宋体" w:hAnsi="宋体" w:cs="Arial"/>
          <w:b/>
          <w:kern w:val="0"/>
          <w:szCs w:val="21"/>
        </w:rPr>
        <w:t>六</w:t>
      </w:r>
      <w:r>
        <w:rPr>
          <w:rFonts w:ascii="宋体" w:hAnsi="宋体" w:cs="Arial"/>
          <w:b/>
          <w:kern w:val="0"/>
          <w:szCs w:val="21"/>
        </w:rPr>
        <w:t>、公告期限</w:t>
      </w:r>
      <w:r>
        <w:rPr>
          <w:rFonts w:hint="eastAsia" w:ascii="宋体" w:hAnsi="宋体" w:cs="Arial"/>
          <w:b/>
          <w:kern w:val="0"/>
          <w:szCs w:val="21"/>
        </w:rPr>
        <w:t>、发布媒体</w:t>
      </w:r>
    </w:p>
    <w:p>
      <w:pPr>
        <w:widowControl/>
        <w:shd w:val="clear" w:color="auto" w:fill="FFFFFF"/>
        <w:spacing w:line="360" w:lineRule="auto"/>
        <w:ind w:firstLine="420" w:firstLineChars="200"/>
        <w:jc w:val="left"/>
        <w:rPr>
          <w:rFonts w:ascii="宋体" w:hAnsi="宋体" w:cs="Arial"/>
          <w:kern w:val="0"/>
          <w:szCs w:val="21"/>
        </w:rPr>
      </w:pPr>
      <w:r>
        <w:rPr>
          <w:rFonts w:hint="eastAsia" w:ascii="宋体" w:hAnsi="宋体" w:cs="Arial"/>
          <w:kern w:val="0"/>
          <w:szCs w:val="21"/>
        </w:rPr>
        <w:t>6</w:t>
      </w:r>
      <w:r>
        <w:rPr>
          <w:rFonts w:ascii="宋体" w:hAnsi="宋体" w:cs="Arial"/>
          <w:kern w:val="0"/>
          <w:szCs w:val="21"/>
        </w:rPr>
        <w:t>.1</w:t>
      </w:r>
      <w:r>
        <w:rPr>
          <w:rFonts w:hint="eastAsia" w:ascii="宋体" w:hAnsi="宋体" w:cs="Arial"/>
          <w:kern w:val="0"/>
          <w:szCs w:val="21"/>
        </w:rPr>
        <w:t>公告期限：</w:t>
      </w:r>
      <w:r>
        <w:rPr>
          <w:rFonts w:ascii="宋体" w:hAnsi="宋体" w:cs="Arial"/>
          <w:kern w:val="0"/>
          <w:szCs w:val="21"/>
        </w:rPr>
        <w:t>自本公告发布之日起</w:t>
      </w:r>
      <w:r>
        <w:rPr>
          <w:rFonts w:hint="eastAsia" w:ascii="宋体" w:hAnsi="宋体" w:cs="Arial"/>
          <w:kern w:val="0"/>
          <w:szCs w:val="21"/>
        </w:rPr>
        <w:t>5</w:t>
      </w:r>
      <w:r>
        <w:rPr>
          <w:rFonts w:ascii="宋体" w:hAnsi="宋体" w:cs="Arial"/>
          <w:kern w:val="0"/>
          <w:szCs w:val="21"/>
        </w:rPr>
        <w:t>个工作日。</w:t>
      </w:r>
    </w:p>
    <w:p>
      <w:pPr>
        <w:widowControl/>
        <w:shd w:val="clear" w:color="auto" w:fill="FFFFFF"/>
        <w:spacing w:line="360" w:lineRule="auto"/>
        <w:ind w:firstLine="420" w:firstLineChars="200"/>
        <w:jc w:val="left"/>
        <w:rPr>
          <w:rFonts w:ascii="宋体" w:hAnsi="宋体" w:cs="Arial"/>
          <w:szCs w:val="21"/>
          <w:u w:val="single"/>
          <w:lang w:val="zh-CN"/>
        </w:rPr>
      </w:pPr>
      <w:r>
        <w:rPr>
          <w:rFonts w:hint="eastAsia" w:ascii="宋体" w:hAnsi="宋体" w:cs="Arial"/>
          <w:szCs w:val="21"/>
          <w:lang w:val="zh-CN"/>
        </w:rPr>
        <w:t>6</w:t>
      </w:r>
      <w:r>
        <w:rPr>
          <w:rFonts w:ascii="宋体" w:hAnsi="宋体" w:cs="Arial"/>
          <w:szCs w:val="21"/>
          <w:lang w:val="zh-CN"/>
        </w:rPr>
        <w:t>.2本项目在</w:t>
      </w:r>
      <w:r>
        <w:rPr>
          <w:rFonts w:hint="eastAsia" w:cs="Arial" w:asciiTheme="minorEastAsia" w:hAnsiTheme="minorEastAsia" w:eastAsiaTheme="minorEastAsia"/>
          <w:b/>
          <w:szCs w:val="21"/>
          <w:lang w:val="zh-CN"/>
        </w:rPr>
        <w:t>江苏省招标投标公共服务平台</w:t>
      </w:r>
      <w:r>
        <w:rPr>
          <w:rFonts w:ascii="宋体" w:hAnsi="宋体" w:cs="Arial"/>
          <w:szCs w:val="21"/>
          <w:lang w:val="zh-CN"/>
        </w:rPr>
        <w:t>发布公告。</w:t>
      </w:r>
    </w:p>
    <w:p>
      <w:pPr>
        <w:widowControl/>
        <w:shd w:val="clear" w:color="auto" w:fill="FFFFFF"/>
        <w:spacing w:line="360" w:lineRule="auto"/>
        <w:ind w:firstLine="422" w:firstLineChars="200"/>
        <w:jc w:val="left"/>
        <w:rPr>
          <w:rFonts w:ascii="宋体" w:hAnsi="宋体" w:cs="Arial"/>
          <w:b/>
          <w:kern w:val="0"/>
          <w:szCs w:val="21"/>
        </w:rPr>
      </w:pPr>
      <w:r>
        <w:rPr>
          <w:rFonts w:hint="eastAsia" w:ascii="宋体" w:hAnsi="宋体" w:cs="Arial"/>
          <w:b/>
          <w:kern w:val="0"/>
          <w:szCs w:val="21"/>
        </w:rPr>
        <w:t>七</w:t>
      </w:r>
      <w:r>
        <w:rPr>
          <w:rFonts w:ascii="宋体" w:hAnsi="宋体" w:cs="Arial"/>
          <w:b/>
          <w:kern w:val="0"/>
          <w:szCs w:val="21"/>
        </w:rPr>
        <w:t>、其他补充事宜</w:t>
      </w:r>
    </w:p>
    <w:p>
      <w:pPr>
        <w:spacing w:line="360" w:lineRule="auto"/>
        <w:ind w:firstLine="420" w:firstLineChars="200"/>
        <w:jc w:val="left"/>
        <w:rPr>
          <w:rFonts w:ascii="宋体" w:hAnsi="宋体" w:cs="Arial"/>
          <w:kern w:val="0"/>
          <w:szCs w:val="21"/>
          <w:u w:val="single"/>
        </w:rPr>
      </w:pPr>
      <w:r>
        <w:rPr>
          <w:rFonts w:hint="eastAsia" w:ascii="宋体" w:hAnsi="宋体" w:cs="Arial"/>
          <w:bCs/>
          <w:szCs w:val="21"/>
        </w:rPr>
        <w:t>7</w:t>
      </w:r>
      <w:r>
        <w:rPr>
          <w:rFonts w:ascii="宋体" w:hAnsi="宋体" w:cs="Arial"/>
          <w:bCs/>
          <w:szCs w:val="21"/>
        </w:rPr>
        <w:t>.1勘察现场或答疑：</w:t>
      </w:r>
      <w:r>
        <w:rPr>
          <w:rFonts w:hint="eastAsia" w:ascii="宋体" w:hAnsi="宋体" w:cs="Arial"/>
          <w:bCs/>
          <w:szCs w:val="21"/>
        </w:rPr>
        <w:t>采购人不统一组织，有需要的投标人可自行勘察。</w:t>
      </w:r>
    </w:p>
    <w:p>
      <w:pPr>
        <w:widowControl/>
        <w:shd w:val="clear" w:color="auto" w:fill="FFFFFF"/>
        <w:spacing w:line="360" w:lineRule="auto"/>
        <w:ind w:firstLine="422" w:firstLineChars="200"/>
        <w:jc w:val="left"/>
        <w:rPr>
          <w:rFonts w:ascii="宋体" w:hAnsi="宋体" w:cs="Arial"/>
          <w:b/>
          <w:bCs/>
          <w:szCs w:val="21"/>
          <w:lang w:val="zh-CN"/>
        </w:rPr>
      </w:pPr>
      <w:r>
        <w:rPr>
          <w:rFonts w:ascii="宋体" w:hAnsi="宋体" w:cs="Arial"/>
          <w:b/>
          <w:bCs/>
          <w:szCs w:val="21"/>
          <w:lang w:val="zh-CN"/>
        </w:rPr>
        <w:t>7</w:t>
      </w:r>
      <w:r>
        <w:rPr>
          <w:rFonts w:hint="eastAsia" w:ascii="宋体" w:hAnsi="宋体" w:cs="Arial"/>
          <w:b/>
          <w:bCs/>
          <w:szCs w:val="21"/>
          <w:lang w:val="zh-CN"/>
        </w:rPr>
        <w:t>.</w:t>
      </w:r>
      <w:r>
        <w:rPr>
          <w:rFonts w:ascii="宋体" w:hAnsi="宋体" w:cs="Arial"/>
          <w:b/>
          <w:bCs/>
          <w:szCs w:val="21"/>
          <w:lang w:val="zh-CN"/>
        </w:rPr>
        <w:t>2</w:t>
      </w:r>
      <w:r>
        <w:rPr>
          <w:rFonts w:hint="eastAsia" w:ascii="宋体" w:hAnsi="宋体" w:cs="Arial"/>
          <w:b/>
          <w:bCs/>
          <w:szCs w:val="21"/>
          <w:lang w:val="zh-CN"/>
        </w:rPr>
        <w:t xml:space="preserve"> 拒绝下述投标人参加本次采购活动</w:t>
      </w:r>
    </w:p>
    <w:p>
      <w:pPr>
        <w:spacing w:line="360" w:lineRule="auto"/>
        <w:ind w:firstLine="420" w:firstLineChars="200"/>
        <w:jc w:val="left"/>
        <w:rPr>
          <w:rFonts w:ascii="宋体" w:hAnsi="宋体" w:cs="Arial"/>
          <w:bCs/>
          <w:szCs w:val="21"/>
        </w:rPr>
      </w:pPr>
      <w:r>
        <w:rPr>
          <w:rFonts w:hint="eastAsia" w:ascii="宋体" w:hAnsi="宋体" w:cs="Arial"/>
          <w:bCs/>
          <w:szCs w:val="21"/>
        </w:rPr>
        <w:t>（1）投标人</w:t>
      </w:r>
      <w:r>
        <w:rPr>
          <w:rFonts w:ascii="宋体" w:hAnsi="宋体" w:cs="Arial"/>
          <w:bCs/>
          <w:szCs w:val="21"/>
        </w:rPr>
        <w:t>单位负责人为同一人或者存在直接控股、管理关系的不同投标人，不得参加同一合同项下的政府采购活动</w:t>
      </w:r>
      <w:r>
        <w:rPr>
          <w:rFonts w:hint="eastAsia" w:ascii="宋体" w:hAnsi="宋体" w:cs="Arial"/>
          <w:bCs/>
          <w:szCs w:val="21"/>
        </w:rPr>
        <w:t>；</w:t>
      </w:r>
    </w:p>
    <w:p>
      <w:pPr>
        <w:spacing w:line="360" w:lineRule="auto"/>
        <w:ind w:firstLine="420" w:firstLineChars="200"/>
        <w:jc w:val="left"/>
        <w:rPr>
          <w:rFonts w:ascii="宋体" w:hAnsi="宋体" w:cs="Arial"/>
          <w:bCs/>
          <w:szCs w:val="21"/>
        </w:rPr>
      </w:pPr>
      <w:r>
        <w:rPr>
          <w:rFonts w:hint="eastAsia" w:ascii="宋体" w:hAnsi="宋体" w:cs="Arial"/>
          <w:bCs/>
          <w:szCs w:val="21"/>
        </w:rPr>
        <w:t>（2）</w:t>
      </w:r>
      <w:r>
        <w:rPr>
          <w:rFonts w:ascii="宋体" w:hAnsi="宋体" w:cs="Arial"/>
          <w:bCs/>
          <w:szCs w:val="21"/>
        </w:rPr>
        <w:t>为采购项目提供整体设计、规范编制或者项目管理、监理、检测等服务的投标人，不得参加</w:t>
      </w:r>
      <w:r>
        <w:rPr>
          <w:rFonts w:hint="eastAsia" w:ascii="宋体" w:hAnsi="宋体" w:cs="Arial"/>
          <w:bCs/>
          <w:szCs w:val="21"/>
        </w:rPr>
        <w:t>本项目的</w:t>
      </w:r>
      <w:r>
        <w:rPr>
          <w:rFonts w:ascii="宋体" w:hAnsi="宋体" w:cs="Arial"/>
          <w:bCs/>
          <w:szCs w:val="21"/>
        </w:rPr>
        <w:t>采购活动</w:t>
      </w:r>
      <w:r>
        <w:rPr>
          <w:rFonts w:hint="eastAsia" w:ascii="宋体" w:hAnsi="宋体" w:cs="Arial"/>
          <w:bCs/>
          <w:szCs w:val="21"/>
        </w:rPr>
        <w:t>；</w:t>
      </w:r>
    </w:p>
    <w:p>
      <w:pPr>
        <w:spacing w:line="360" w:lineRule="auto"/>
        <w:ind w:firstLine="420" w:firstLineChars="200"/>
        <w:jc w:val="left"/>
        <w:rPr>
          <w:rFonts w:ascii="宋体" w:hAnsi="宋体" w:cs="Arial"/>
          <w:bCs/>
          <w:szCs w:val="21"/>
        </w:rPr>
      </w:pPr>
      <w:r>
        <w:rPr>
          <w:rFonts w:hint="eastAsia" w:ascii="宋体" w:hAnsi="宋体" w:cs="Arial"/>
          <w:bCs/>
          <w:szCs w:val="21"/>
        </w:rPr>
        <w:t>（3）</w:t>
      </w:r>
      <w:bookmarkStart w:id="15" w:name="_Hlk67935238"/>
      <w:r>
        <w:rPr>
          <w:rFonts w:hint="eastAsia" w:ascii="宋体" w:hAnsi="宋体" w:cs="Arial"/>
          <w:bCs/>
          <w:szCs w:val="21"/>
        </w:rPr>
        <w:t>投标人</w:t>
      </w:r>
      <w:bookmarkEnd w:id="15"/>
      <w:r>
        <w:rPr>
          <w:rFonts w:hint="eastAsia" w:ascii="宋体" w:hAnsi="宋体" w:cs="Arial"/>
          <w:bCs/>
          <w:szCs w:val="21"/>
        </w:rPr>
        <w:t>被“信用中国”网站（www.creditchina.gov.cn）、“中国政府采购网”(www.ccgp.gov.cn)列入失信被执行人、重大税收违法案件当事人名单、政府采购严重违法失信行为记录名单；</w:t>
      </w:r>
    </w:p>
    <w:p>
      <w:pPr>
        <w:spacing w:line="360" w:lineRule="auto"/>
        <w:ind w:firstLine="420" w:firstLineChars="200"/>
        <w:jc w:val="left"/>
        <w:rPr>
          <w:rFonts w:ascii="宋体" w:hAnsi="宋体" w:cs="Arial"/>
          <w:bCs/>
          <w:szCs w:val="21"/>
        </w:rPr>
      </w:pPr>
      <w:r>
        <w:rPr>
          <w:rFonts w:hint="eastAsia" w:ascii="宋体" w:hAnsi="宋体" w:cs="Arial"/>
          <w:bCs/>
          <w:szCs w:val="21"/>
        </w:rPr>
        <w:t>7</w:t>
      </w:r>
      <w:r>
        <w:rPr>
          <w:rFonts w:ascii="宋体" w:hAnsi="宋体" w:cs="Arial"/>
          <w:bCs/>
          <w:szCs w:val="21"/>
        </w:rPr>
        <w:t>.3 在单一品目的货物采购中，同一品牌的产品有多家投标人参加投标，只能按照一家投标人计算。</w:t>
      </w:r>
    </w:p>
    <w:p>
      <w:pPr>
        <w:widowControl/>
        <w:shd w:val="clear" w:color="auto" w:fill="FFFFFF"/>
        <w:spacing w:line="360" w:lineRule="auto"/>
        <w:ind w:firstLine="422" w:firstLineChars="200"/>
        <w:jc w:val="left"/>
        <w:rPr>
          <w:rFonts w:ascii="宋体" w:hAnsi="宋体" w:cs="Arial"/>
          <w:b/>
          <w:bCs/>
          <w:kern w:val="0"/>
          <w:szCs w:val="21"/>
        </w:rPr>
      </w:pPr>
      <w:r>
        <w:rPr>
          <w:rFonts w:hint="eastAsia" w:ascii="宋体" w:hAnsi="宋体" w:cs="Arial"/>
          <w:b/>
          <w:bCs/>
          <w:kern w:val="0"/>
          <w:szCs w:val="21"/>
        </w:rPr>
        <w:t>八</w:t>
      </w:r>
      <w:r>
        <w:rPr>
          <w:rFonts w:ascii="宋体" w:hAnsi="宋体" w:cs="Arial"/>
          <w:b/>
          <w:bCs/>
          <w:kern w:val="0"/>
          <w:szCs w:val="21"/>
        </w:rPr>
        <w:t>、对本次</w:t>
      </w:r>
      <w:r>
        <w:rPr>
          <w:rFonts w:hint="eastAsia" w:ascii="宋体" w:hAnsi="宋体" w:cs="Arial"/>
          <w:b/>
          <w:bCs/>
          <w:kern w:val="0"/>
          <w:szCs w:val="21"/>
        </w:rPr>
        <w:t>采购</w:t>
      </w:r>
      <w:r>
        <w:rPr>
          <w:rFonts w:ascii="宋体" w:hAnsi="宋体" w:cs="Arial"/>
          <w:b/>
          <w:bCs/>
          <w:kern w:val="0"/>
          <w:szCs w:val="21"/>
        </w:rPr>
        <w:t>提出询问，请按以下方式联系。</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8</w:t>
      </w:r>
      <w:r>
        <w:rPr>
          <w:rFonts w:hint="eastAsia" w:ascii="宋体" w:hAnsi="宋体" w:cs="Arial"/>
          <w:b/>
          <w:kern w:val="0"/>
          <w:szCs w:val="21"/>
        </w:rPr>
        <w:t>.</w:t>
      </w:r>
      <w:r>
        <w:rPr>
          <w:rFonts w:ascii="宋体" w:hAnsi="宋体" w:cs="Arial"/>
          <w:b/>
          <w:kern w:val="0"/>
          <w:szCs w:val="21"/>
        </w:rPr>
        <w:t>1采购人信息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宋体" w:hAnsi="宋体" w:cs="Arial"/>
          <w:b/>
          <w:kern w:val="0"/>
          <w:szCs w:val="21"/>
        </w:rPr>
      </w:pPr>
      <w:r>
        <w:rPr>
          <w:rFonts w:hint="eastAsia" w:ascii="宋体" w:hAnsi="宋体" w:cs="Arial"/>
          <w:bCs/>
          <w:kern w:val="0"/>
          <w:szCs w:val="21"/>
        </w:rPr>
        <w:t xml:space="preserve">名 </w:t>
      </w:r>
      <w:r>
        <w:rPr>
          <w:rFonts w:ascii="宋体" w:hAnsi="宋体" w:cs="Arial"/>
          <w:bCs/>
          <w:kern w:val="0"/>
          <w:szCs w:val="21"/>
        </w:rPr>
        <w:t xml:space="preserve"> </w:t>
      </w:r>
      <w:r>
        <w:rPr>
          <w:rFonts w:hint="eastAsia" w:ascii="宋体" w:hAnsi="宋体" w:cs="Arial"/>
          <w:bCs/>
          <w:kern w:val="0"/>
          <w:szCs w:val="21"/>
        </w:rPr>
        <w:t>称：南京旅游职业学院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lang w:val="zh-CN"/>
        </w:rPr>
      </w:pPr>
      <w:r>
        <w:rPr>
          <w:rFonts w:hint="eastAsia" w:ascii="宋体" w:hAnsi="宋体"/>
          <w:szCs w:val="21"/>
          <w:lang w:val="zh-CN"/>
        </w:rPr>
        <w:t xml:space="preserve">地 </w:t>
      </w:r>
      <w:r>
        <w:rPr>
          <w:rFonts w:ascii="宋体" w:hAnsi="宋体"/>
          <w:szCs w:val="21"/>
          <w:lang w:val="zh-CN"/>
        </w:rPr>
        <w:t xml:space="preserve"> </w:t>
      </w:r>
      <w:r>
        <w:rPr>
          <w:rFonts w:hint="eastAsia" w:ascii="宋体" w:hAnsi="宋体"/>
          <w:szCs w:val="21"/>
          <w:lang w:val="zh-CN"/>
        </w:rPr>
        <w:t>址</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江苏省南京市江宁区月华西路1号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宋体" w:hAnsi="宋体" w:cs="Arial"/>
          <w:bCs/>
          <w:kern w:val="0"/>
          <w:szCs w:val="21"/>
        </w:rPr>
      </w:pPr>
      <w:r>
        <w:rPr>
          <w:rFonts w:hint="eastAsia" w:ascii="宋体" w:hAnsi="宋体" w:cs="Arial"/>
          <w:bCs/>
          <w:kern w:val="0"/>
          <w:szCs w:val="21"/>
        </w:rPr>
        <w:t>招标中心联系人：罗老师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宋体" w:hAnsi="宋体" w:cs="Arial"/>
          <w:bCs/>
          <w:kern w:val="0"/>
          <w:szCs w:val="21"/>
        </w:rPr>
      </w:pPr>
      <w:r>
        <w:rPr>
          <w:rFonts w:hint="eastAsia" w:ascii="宋体" w:hAnsi="宋体" w:cs="Arial"/>
          <w:bCs/>
          <w:kern w:val="0"/>
          <w:szCs w:val="21"/>
        </w:rPr>
        <w:t>联系电话：</w:t>
      </w:r>
      <w:r>
        <w:rPr>
          <w:rFonts w:ascii="宋体" w:hAnsi="宋体" w:cs="Arial"/>
          <w:bCs/>
          <w:kern w:val="0"/>
          <w:szCs w:val="21"/>
        </w:rPr>
        <w:t>025-58096856</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宋体" w:hAnsi="宋体" w:cs="Arial"/>
          <w:bCs/>
          <w:kern w:val="0"/>
          <w:szCs w:val="21"/>
        </w:rPr>
      </w:pPr>
      <w:r>
        <w:rPr>
          <w:rFonts w:hint="eastAsia" w:ascii="宋体" w:hAnsi="宋体" w:cs="Arial"/>
          <w:bCs/>
          <w:kern w:val="0"/>
          <w:szCs w:val="21"/>
        </w:rPr>
        <w:t>项目答疑人：于老师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宋体" w:hAnsi="宋体" w:cs="Arial"/>
          <w:bCs/>
          <w:kern w:val="0"/>
          <w:szCs w:val="21"/>
        </w:rPr>
      </w:pPr>
      <w:r>
        <w:rPr>
          <w:rFonts w:hint="eastAsia" w:ascii="宋体" w:hAnsi="宋体" w:cs="Arial"/>
          <w:bCs/>
          <w:kern w:val="0"/>
          <w:szCs w:val="21"/>
        </w:rPr>
        <w:t>联系电话：58096913</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8</w:t>
      </w:r>
      <w:r>
        <w:rPr>
          <w:rFonts w:hint="eastAsia" w:ascii="宋体" w:hAnsi="宋体" w:cs="Arial"/>
          <w:b/>
          <w:kern w:val="0"/>
          <w:szCs w:val="21"/>
        </w:rPr>
        <w:t>.</w:t>
      </w:r>
      <w:r>
        <w:rPr>
          <w:rFonts w:ascii="宋体" w:hAnsi="宋体" w:cs="Arial"/>
          <w:b/>
          <w:kern w:val="0"/>
          <w:szCs w:val="21"/>
        </w:rPr>
        <w:t>2采购代理机构信息</w:t>
      </w:r>
    </w:p>
    <w:p>
      <w:pPr>
        <w:widowControl/>
        <w:shd w:val="clear" w:color="auto" w:fill="FFFFFF"/>
        <w:spacing w:line="360" w:lineRule="auto"/>
        <w:ind w:firstLine="420" w:firstLineChars="200"/>
        <w:jc w:val="left"/>
        <w:rPr>
          <w:rFonts w:ascii="宋体" w:hAnsi="宋体" w:cs="Arial"/>
          <w:b/>
          <w:kern w:val="0"/>
          <w:szCs w:val="21"/>
        </w:rPr>
      </w:pPr>
      <w:r>
        <w:rPr>
          <w:rFonts w:hint="eastAsia" w:ascii="宋体" w:hAnsi="宋体" w:cs="Arial"/>
          <w:bCs/>
          <w:kern w:val="0"/>
          <w:szCs w:val="21"/>
        </w:rPr>
        <w:t>名  称：江苏国采工程咨询有限公司</w:t>
      </w:r>
    </w:p>
    <w:p>
      <w:pPr>
        <w:spacing w:line="360" w:lineRule="auto"/>
        <w:ind w:firstLine="420" w:firstLineChars="200"/>
        <w:jc w:val="left"/>
        <w:rPr>
          <w:rFonts w:ascii="宋体" w:hAnsi="宋体"/>
          <w:szCs w:val="21"/>
          <w:lang w:val="zh-CN"/>
        </w:rPr>
      </w:pPr>
      <w:r>
        <w:rPr>
          <w:rFonts w:hint="eastAsia" w:ascii="宋体" w:hAnsi="宋体"/>
          <w:szCs w:val="21"/>
          <w:lang w:val="zh-CN"/>
        </w:rPr>
        <w:t>地  址：南京市山西路8号金山大厦A座28层2810室</w:t>
      </w:r>
    </w:p>
    <w:p>
      <w:pPr>
        <w:spacing w:line="360" w:lineRule="auto"/>
        <w:ind w:firstLine="420" w:firstLineChars="200"/>
        <w:jc w:val="left"/>
        <w:rPr>
          <w:rFonts w:ascii="宋体" w:hAnsi="宋体"/>
          <w:szCs w:val="21"/>
          <w:lang w:val="zh-CN"/>
        </w:rPr>
      </w:pPr>
      <w:r>
        <w:rPr>
          <w:rFonts w:hint="eastAsia" w:ascii="宋体" w:hAnsi="宋体"/>
          <w:szCs w:val="21"/>
          <w:lang w:val="zh-CN"/>
        </w:rPr>
        <w:t xml:space="preserve">邮 </w:t>
      </w:r>
      <w:r>
        <w:rPr>
          <w:rFonts w:ascii="宋体" w:hAnsi="宋体"/>
          <w:szCs w:val="21"/>
          <w:lang w:val="zh-CN"/>
        </w:rPr>
        <w:t xml:space="preserve"> </w:t>
      </w:r>
      <w:r>
        <w:rPr>
          <w:rFonts w:hint="eastAsia" w:ascii="宋体" w:hAnsi="宋体"/>
          <w:szCs w:val="21"/>
          <w:lang w:val="zh-CN"/>
        </w:rPr>
        <w:t>箱：</w:t>
      </w:r>
      <w:r>
        <w:rPr>
          <w:rFonts w:ascii="宋体" w:hAnsi="宋体"/>
          <w:szCs w:val="21"/>
          <w:lang w:val="zh-CN"/>
        </w:rPr>
        <w:t>jsgczb@sina.com</w:t>
      </w:r>
    </w:p>
    <w:p>
      <w:pPr>
        <w:spacing w:line="360" w:lineRule="auto"/>
        <w:ind w:firstLine="420" w:firstLineChars="200"/>
        <w:jc w:val="left"/>
        <w:rPr>
          <w:rFonts w:ascii="宋体" w:hAnsi="宋体"/>
          <w:szCs w:val="21"/>
        </w:rPr>
      </w:pPr>
      <w:r>
        <w:rPr>
          <w:rFonts w:hint="eastAsia" w:ascii="宋体" w:hAnsi="宋体"/>
          <w:szCs w:val="21"/>
          <w:lang w:val="zh-CN"/>
        </w:rPr>
        <w:t>联系人：</w:t>
      </w:r>
      <w:r>
        <w:rPr>
          <w:rFonts w:hint="eastAsia" w:ascii="宋体" w:hAnsi="宋体"/>
          <w:szCs w:val="21"/>
        </w:rPr>
        <w:t>吴奇</w:t>
      </w:r>
      <w:r>
        <w:rPr>
          <w:rFonts w:ascii="宋体" w:hAnsi="宋体"/>
          <w:szCs w:val="21"/>
        </w:rPr>
        <w:t xml:space="preserve">  </w:t>
      </w:r>
      <w:r>
        <w:rPr>
          <w:rFonts w:hint="eastAsia" w:ascii="宋体" w:hAnsi="宋体"/>
          <w:szCs w:val="21"/>
        </w:rPr>
        <w:t>陈丹</w:t>
      </w:r>
    </w:p>
    <w:p>
      <w:pPr>
        <w:spacing w:line="360" w:lineRule="auto"/>
        <w:ind w:firstLine="420" w:firstLineChars="200"/>
        <w:jc w:val="left"/>
        <w:rPr>
          <w:rFonts w:ascii="宋体" w:hAnsi="宋体"/>
          <w:szCs w:val="21"/>
        </w:rPr>
      </w:pPr>
      <w:r>
        <w:rPr>
          <w:rFonts w:hint="eastAsia" w:ascii="宋体" w:hAnsi="宋体"/>
          <w:szCs w:val="21"/>
          <w:lang w:val="zh-CN"/>
        </w:rPr>
        <w:t>联系电话：</w:t>
      </w:r>
      <w:r>
        <w:rPr>
          <w:rFonts w:hint="eastAsia" w:ascii="宋体" w:hAnsi="宋体"/>
          <w:szCs w:val="21"/>
        </w:rPr>
        <w:t>025-8369</w:t>
      </w:r>
      <w:r>
        <w:rPr>
          <w:rFonts w:hint="eastAsia" w:ascii="宋体" w:hAnsi="宋体"/>
          <w:szCs w:val="21"/>
          <w:lang w:val="en-US" w:eastAsia="zh-CN"/>
        </w:rPr>
        <w:t xml:space="preserve">2278 </w:t>
      </w:r>
      <w:r>
        <w:rPr>
          <w:rFonts w:hint="eastAsia" w:ascii="宋体" w:hAnsi="宋体"/>
          <w:szCs w:val="21"/>
        </w:rPr>
        <w:t>83692809</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8</w:t>
      </w:r>
      <w:r>
        <w:rPr>
          <w:rFonts w:hint="eastAsia" w:ascii="宋体" w:hAnsi="宋体" w:cs="Arial"/>
          <w:b/>
          <w:kern w:val="0"/>
          <w:szCs w:val="21"/>
        </w:rPr>
        <w:t>.</w:t>
      </w:r>
      <w:r>
        <w:rPr>
          <w:rFonts w:ascii="宋体" w:hAnsi="宋体" w:cs="Arial"/>
          <w:b/>
          <w:kern w:val="0"/>
          <w:szCs w:val="21"/>
        </w:rPr>
        <w:t>3项目联系方式</w:t>
      </w:r>
    </w:p>
    <w:p>
      <w:pPr>
        <w:widowControl/>
        <w:shd w:val="clear" w:color="auto" w:fill="FFFFFF"/>
        <w:spacing w:line="360" w:lineRule="auto"/>
        <w:ind w:firstLine="420" w:firstLineChars="200"/>
        <w:jc w:val="left"/>
        <w:rPr>
          <w:rFonts w:ascii="宋体" w:hAnsi="宋体" w:cs="Arial"/>
          <w:kern w:val="0"/>
          <w:szCs w:val="21"/>
        </w:rPr>
      </w:pPr>
      <w:r>
        <w:rPr>
          <w:rFonts w:ascii="宋体" w:hAnsi="宋体" w:cs="Arial"/>
          <w:kern w:val="0"/>
          <w:szCs w:val="21"/>
        </w:rPr>
        <w:t>项目联系人</w:t>
      </w:r>
      <w:r>
        <w:rPr>
          <w:rFonts w:hint="eastAsia" w:ascii="宋体" w:hAnsi="宋体" w:cs="Arial"/>
          <w:kern w:val="0"/>
          <w:szCs w:val="21"/>
        </w:rPr>
        <w:t>：</w:t>
      </w:r>
      <w:r>
        <w:rPr>
          <w:rFonts w:hint="eastAsia" w:ascii="宋体" w:hAnsi="宋体"/>
          <w:szCs w:val="21"/>
        </w:rPr>
        <w:t>吴奇</w:t>
      </w:r>
      <w:r>
        <w:rPr>
          <w:rFonts w:ascii="宋体" w:hAnsi="宋体"/>
          <w:szCs w:val="21"/>
        </w:rPr>
        <w:t xml:space="preserve">  </w:t>
      </w:r>
      <w:r>
        <w:rPr>
          <w:rFonts w:hint="eastAsia" w:ascii="宋体" w:hAnsi="宋体"/>
          <w:szCs w:val="21"/>
        </w:rPr>
        <w:t>陈丹</w:t>
      </w:r>
    </w:p>
    <w:p>
      <w:pPr>
        <w:widowControl/>
        <w:shd w:val="clear" w:color="auto" w:fill="FFFFFF"/>
        <w:spacing w:line="360" w:lineRule="auto"/>
        <w:ind w:firstLine="420" w:firstLineChars="200"/>
        <w:jc w:val="left"/>
        <w:rPr>
          <w:rFonts w:ascii="宋体" w:hAnsi="宋体"/>
          <w:szCs w:val="21"/>
        </w:rPr>
      </w:pPr>
      <w:r>
        <w:rPr>
          <w:rFonts w:hint="eastAsia" w:ascii="宋体" w:hAnsi="宋体" w:cs="Arial"/>
          <w:kern w:val="0"/>
          <w:szCs w:val="21"/>
        </w:rPr>
        <w:t>联系电话：</w:t>
      </w:r>
      <w:r>
        <w:rPr>
          <w:rFonts w:hint="eastAsia" w:ascii="宋体" w:hAnsi="宋体"/>
          <w:szCs w:val="21"/>
        </w:rPr>
        <w:t>025-8369</w:t>
      </w:r>
      <w:r>
        <w:rPr>
          <w:rFonts w:hint="eastAsia" w:ascii="宋体" w:hAnsi="宋体"/>
          <w:szCs w:val="21"/>
          <w:lang w:val="en-US" w:eastAsia="zh-CN"/>
        </w:rPr>
        <w:t xml:space="preserve">2278 </w:t>
      </w:r>
      <w:r>
        <w:rPr>
          <w:rFonts w:hint="eastAsia" w:ascii="宋体" w:hAnsi="宋体"/>
          <w:szCs w:val="21"/>
        </w:rPr>
        <w:t>83692809</w:t>
      </w:r>
    </w:p>
    <w:p>
      <w:pPr>
        <w:widowControl/>
        <w:shd w:val="clear" w:color="auto" w:fill="FFFFFF"/>
        <w:spacing w:line="360"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 xml:space="preserve"> </w:t>
      </w:r>
    </w:p>
    <w:bookmarkEnd w:id="3"/>
    <w:p>
      <w:pPr>
        <w:pStyle w:val="4"/>
        <w:numPr>
          <w:ilvl w:val="0"/>
          <w:numId w:val="0"/>
        </w:numPr>
      </w:pPr>
      <w:r>
        <w:rPr>
          <w:rFonts w:asciiTheme="minorEastAsia" w:hAnsiTheme="minorEastAsia" w:eastAsiaTheme="minorEastAsia"/>
          <w:sz w:val="21"/>
          <w:szCs w:val="21"/>
        </w:rPr>
        <w:br w:type="page"/>
      </w:r>
      <w:bookmarkStart w:id="16" w:name="_Toc67670743"/>
      <w:bookmarkStart w:id="17" w:name="_Toc7511"/>
      <w:r>
        <w:rPr>
          <w:rFonts w:hint="eastAsia"/>
        </w:rPr>
        <w:t>第二章</w:t>
      </w:r>
      <w:bookmarkStart w:id="18" w:name="_Toc452625218"/>
      <w:r>
        <w:rPr>
          <w:rFonts w:hint="eastAsia"/>
        </w:rPr>
        <w:t xml:space="preserve"> 投标人须知</w:t>
      </w:r>
      <w:bookmarkEnd w:id="16"/>
      <w:bookmarkEnd w:id="17"/>
      <w:bookmarkEnd w:id="18"/>
    </w:p>
    <w:p>
      <w:pPr>
        <w:widowControl/>
        <w:shd w:val="clear" w:color="auto" w:fill="FFFFFF"/>
        <w:spacing w:line="360" w:lineRule="auto"/>
        <w:ind w:firstLine="424" w:firstLineChars="201"/>
        <w:rPr>
          <w:rFonts w:asciiTheme="minorEastAsia" w:hAnsiTheme="minorEastAsia" w:eastAsiaTheme="minorEastAsia"/>
          <w:kern w:val="0"/>
          <w:szCs w:val="21"/>
        </w:rPr>
      </w:pPr>
      <w:r>
        <w:rPr>
          <w:rFonts w:hint="eastAsia" w:asciiTheme="minorEastAsia" w:hAnsiTheme="minorEastAsia" w:eastAsiaTheme="minorEastAsia"/>
          <w:b/>
          <w:bCs/>
          <w:kern w:val="0"/>
          <w:szCs w:val="21"/>
        </w:rPr>
        <w:t>一、总 则</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1、适用法律</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1.1本次采购适用《中华人民共和国政府采购法》（以下简称政府采购法）、《中华人民共和国政府采购法实施条例》（以下简称政府采购法实施条例）、《政府采购货物或服务招标投标管理办法》等法律、行政法规、部门规章和规范性文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2、定义</w:t>
      </w:r>
    </w:p>
    <w:p>
      <w:pPr>
        <w:widowControl/>
        <w:shd w:val="clear" w:color="auto" w:fill="FFFFFF"/>
        <w:spacing w:line="360" w:lineRule="auto"/>
        <w:ind w:firstLine="420"/>
        <w:rPr>
          <w:rFonts w:asciiTheme="minorEastAsia" w:hAnsiTheme="minorEastAsia" w:eastAsiaTheme="minorEastAsia"/>
          <w:color w:val="FF0000"/>
          <w:kern w:val="0"/>
          <w:szCs w:val="21"/>
        </w:rPr>
      </w:pPr>
      <w:bookmarkStart w:id="19" w:name="_Hlk44576213"/>
      <w:r>
        <w:rPr>
          <w:rFonts w:hint="eastAsia" w:asciiTheme="minorEastAsia" w:hAnsiTheme="minorEastAsia" w:eastAsiaTheme="minorEastAsia"/>
          <w:kern w:val="0"/>
          <w:szCs w:val="21"/>
        </w:rPr>
        <w:t>2.1“采购人”是指</w:t>
      </w:r>
      <w:bookmarkEnd w:id="19"/>
      <w:r>
        <w:rPr>
          <w:rFonts w:hint="eastAsia" w:ascii="宋体" w:hAnsi="宋体" w:cs="Arial"/>
          <w:bCs/>
          <w:kern w:val="0"/>
          <w:szCs w:val="21"/>
        </w:rPr>
        <w:t>南京旅游职业学院。</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投标人</w:t>
      </w:r>
      <w:r>
        <w:rPr>
          <w:rFonts w:hint="eastAsia" w:asciiTheme="minorEastAsia" w:hAnsiTheme="minorEastAsia" w:eastAsiaTheme="minorEastAsia"/>
          <w:kern w:val="0"/>
          <w:szCs w:val="21"/>
        </w:rPr>
        <w:t>”</w:t>
      </w:r>
      <w:r>
        <w:rPr>
          <w:rFonts w:asciiTheme="minorEastAsia" w:hAnsiTheme="minorEastAsia" w:eastAsiaTheme="minorEastAsia"/>
          <w:kern w:val="0"/>
          <w:szCs w:val="21"/>
        </w:rPr>
        <w:t>是</w:t>
      </w:r>
      <w:r>
        <w:rPr>
          <w:rFonts w:hint="eastAsia" w:asciiTheme="minorEastAsia" w:hAnsiTheme="minorEastAsia" w:eastAsiaTheme="minorEastAsia"/>
          <w:kern w:val="0"/>
          <w:szCs w:val="21"/>
        </w:rPr>
        <w:t>指参加投标竞争，并符合招标文件规定资格条件的法人、其他组织或者自然人。</w:t>
      </w:r>
    </w:p>
    <w:p>
      <w:pPr>
        <w:widowControl/>
        <w:shd w:val="clear" w:color="auto" w:fill="FFFFFF"/>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bookmarkStart w:id="20" w:name="_Hlk44576222"/>
      <w:r>
        <w:rPr>
          <w:rFonts w:hint="eastAsia" w:asciiTheme="minorEastAsia" w:hAnsiTheme="minorEastAsia" w:eastAsiaTheme="minorEastAsia"/>
          <w:color w:val="000000" w:themeColor="text1"/>
          <w:kern w:val="0"/>
          <w:szCs w:val="21"/>
          <w14:textFill>
            <w14:solidFill>
              <w14:schemeClr w14:val="tx1"/>
            </w14:solidFill>
          </w14:textFill>
        </w:rPr>
        <w:t>2.3“采购代理机构”</w:t>
      </w:r>
      <w:r>
        <w:rPr>
          <w:rFonts w:asciiTheme="minorEastAsia" w:hAnsiTheme="minorEastAsia" w:eastAsiaTheme="minorEastAsia"/>
          <w:color w:val="000000" w:themeColor="text1"/>
          <w:kern w:val="0"/>
          <w:szCs w:val="21"/>
          <w14:textFill>
            <w14:solidFill>
              <w14:schemeClr w14:val="tx1"/>
            </w14:solidFill>
          </w14:textFill>
        </w:rPr>
        <w:t>是指</w:t>
      </w:r>
      <w:r>
        <w:rPr>
          <w:rFonts w:hint="eastAsia" w:asciiTheme="minorEastAsia" w:hAnsiTheme="minorEastAsia" w:eastAsiaTheme="minorEastAsia"/>
          <w:color w:val="000000" w:themeColor="text1"/>
          <w:kern w:val="0"/>
          <w:szCs w:val="21"/>
          <w14:textFill>
            <w14:solidFill>
              <w14:schemeClr w14:val="tx1"/>
            </w14:solidFill>
          </w14:textFill>
        </w:rPr>
        <w:t xml:space="preserve"> 江苏国采工程咨询有限公司</w:t>
      </w:r>
      <w:r>
        <w:rPr>
          <w:rFonts w:asciiTheme="minorEastAsia" w:hAnsiTheme="minorEastAsia" w:eastAsiaTheme="minorEastAsia"/>
          <w:color w:val="000000" w:themeColor="text1"/>
          <w:kern w:val="0"/>
          <w:szCs w:val="21"/>
          <w14:textFill>
            <w14:solidFill>
              <w14:schemeClr w14:val="tx1"/>
            </w14:solidFill>
          </w14:textFill>
        </w:rPr>
        <w:t>。</w:t>
      </w:r>
    </w:p>
    <w:bookmarkEnd w:id="20"/>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2.4“货物和服务”指本招标文件中所述</w:t>
      </w:r>
      <w:r>
        <w:rPr>
          <w:rFonts w:hint="eastAsia" w:asciiTheme="minorEastAsia" w:hAnsiTheme="minorEastAsia" w:eastAsiaTheme="minorEastAsia"/>
          <w:bCs/>
          <w:kern w:val="0"/>
          <w:szCs w:val="21"/>
        </w:rPr>
        <w:t>产品及配套服务</w:t>
      </w:r>
      <w:r>
        <w:rPr>
          <w:rFonts w:hint="eastAsia"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3、政策功能</w:t>
      </w:r>
    </w:p>
    <w:p>
      <w:pPr>
        <w:widowControl/>
        <w:shd w:val="clear" w:color="auto" w:fill="FFFFFF"/>
        <w:spacing w:line="360" w:lineRule="auto"/>
        <w:ind w:firstLine="42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3.1 中小企业政策</w:t>
      </w:r>
    </w:p>
    <w:p>
      <w:pPr>
        <w:widowControl/>
        <w:shd w:val="clear" w:color="auto" w:fill="FFFFFF"/>
        <w:spacing w:line="360" w:lineRule="auto"/>
        <w:ind w:firstLine="420"/>
        <w:rPr>
          <w:rFonts w:cs="宋体" w:asciiTheme="minorEastAsia" w:hAnsiTheme="minorEastAsia" w:eastAsiaTheme="minorEastAsia"/>
          <w:kern w:val="0"/>
          <w:szCs w:val="21"/>
        </w:rPr>
      </w:pPr>
      <w:bookmarkStart w:id="21" w:name="_Hlk77845870"/>
      <w:bookmarkStart w:id="22" w:name="_Hlk84580649"/>
      <w:r>
        <w:rPr>
          <w:rFonts w:hint="eastAsia" w:cs="宋体" w:asciiTheme="minorEastAsia" w:hAnsiTheme="minorEastAsia" w:eastAsiaTheme="minorEastAsia"/>
          <w:kern w:val="0"/>
          <w:szCs w:val="21"/>
        </w:rPr>
        <w:t>（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对于专门面向中小企业或小型、微型企业的项目，只面向中小企业或小型、微型企业采购。对于非专门面向中小企业的项目，对小型和微型企业的报价给予10%的扣除，用扣除后的价格参与评审。参加政府采购活动的中小企业应当提供《中小企业声明函》。</w:t>
      </w:r>
    </w:p>
    <w:bookmarkEnd w:id="21"/>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对于接受投标人以联合体形式参加采购活动的项目，小型、微型企业联合体应当符合《政府采购促进中小企业发展管理办法》（财库〔2020〕46号）第九条的规定。联合协议中约定，小型、微型企业的协议合同金额占到联合体协议合同总金额30%以上的，给予联合体4%的价格扣除。</w:t>
      </w:r>
    </w:p>
    <w:p>
      <w:pPr>
        <w:widowControl/>
        <w:shd w:val="clear" w:color="auto" w:fill="FFFFFF"/>
        <w:spacing w:line="360" w:lineRule="auto"/>
        <w:ind w:firstLine="420"/>
        <w:rPr>
          <w:rFonts w:cs="宋体" w:asciiTheme="minorEastAsia" w:hAnsiTheme="minorEastAsia" w:eastAsiaTheme="minorEastAsia"/>
          <w:kern w:val="0"/>
          <w:szCs w:val="21"/>
        </w:rPr>
      </w:pP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以联合体形式参加政府采购活动的，联合体各方均为中小企业的，联合体视同中小企业。其中，联合体各方均为小微企业的，联合体视同小微企业。</w:t>
      </w: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）依据《政府采购促进中小企业发展管理办法》（财库〔2020〕46号）规定的扶持政策获取政府采购合同后，小型、微型企业不得将合同分包给大型、中型企业，中型企业不得将合同分包给大型企业。</w:t>
      </w:r>
    </w:p>
    <w:bookmarkEnd w:id="22"/>
    <w:p>
      <w:pPr>
        <w:spacing w:line="360" w:lineRule="auto"/>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w:t>
      </w:r>
      <w:r>
        <w:rPr>
          <w:rFonts w:cs="宋体" w:asciiTheme="minorEastAsia" w:hAnsiTheme="minorEastAsia" w:eastAsiaTheme="minorEastAsia"/>
          <w:b/>
          <w:bCs/>
          <w:kern w:val="0"/>
          <w:szCs w:val="21"/>
        </w:rPr>
        <w:t>.</w:t>
      </w:r>
      <w:bookmarkStart w:id="23" w:name="_Hlk66802840"/>
      <w:r>
        <w:rPr>
          <w:rFonts w:cs="宋体" w:asciiTheme="minorEastAsia" w:hAnsiTheme="minorEastAsia" w:eastAsiaTheme="minorEastAsia"/>
          <w:b/>
          <w:bCs/>
          <w:kern w:val="0"/>
          <w:szCs w:val="21"/>
        </w:rPr>
        <w:t>2</w:t>
      </w:r>
      <w:r>
        <w:rPr>
          <w:rFonts w:hint="eastAsia" w:cs="宋体" w:asciiTheme="minorEastAsia" w:hAnsiTheme="minorEastAsia" w:eastAsiaTheme="minorEastAsia"/>
          <w:b/>
          <w:bCs/>
          <w:kern w:val="0"/>
          <w:szCs w:val="21"/>
        </w:rPr>
        <w:t>支持监狱企业发展政策</w:t>
      </w:r>
      <w:bookmarkEnd w:id="23"/>
    </w:p>
    <w:p>
      <w:pPr>
        <w:spacing w:line="360" w:lineRule="auto"/>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（1）根据《关于政府采购支持监狱企业发展有关问题的通知》，</w:t>
      </w:r>
      <w:r>
        <w:rPr>
          <w:rFonts w:ascii="Arial" w:hAnsi="Arial" w:cs="Arial"/>
          <w:color w:val="333333"/>
          <w:szCs w:val="21"/>
          <w:shd w:val="clear" w:color="auto" w:fill="FFFFFF"/>
        </w:rPr>
        <w:t>在政府采购活动中监狱企业视同小型、微型企业，享受预留份额、评审中价格扣除等政府采购促进中小企业发展的政府采购政策。</w:t>
      </w:r>
    </w:p>
    <w:p>
      <w:pPr>
        <w:widowControl/>
        <w:shd w:val="clear" w:color="auto" w:fill="FFFFFF"/>
        <w:spacing w:line="360" w:lineRule="auto"/>
        <w:ind w:firstLine="420"/>
        <w:rPr>
          <w:rFonts w:ascii="Arial" w:hAnsi="Arial" w:cs="Arial"/>
          <w:kern w:val="0"/>
          <w:szCs w:val="21"/>
        </w:rPr>
      </w:pPr>
      <w:r>
        <w:rPr>
          <w:rFonts w:hint="eastAsia" w:ascii="Arial" w:hAnsi="Arial" w:cs="Arial"/>
          <w:color w:val="333333"/>
          <w:szCs w:val="21"/>
          <w:shd w:val="clear" w:color="auto" w:fill="FFFFFF"/>
        </w:rPr>
        <w:t>（2）</w:t>
      </w:r>
      <w:r>
        <w:rPr>
          <w:rFonts w:hint="eastAsia" w:cs="宋体" w:asciiTheme="minorEastAsia" w:hAnsiTheme="minorEastAsia" w:eastAsiaTheme="minorEastAsia"/>
          <w:kern w:val="0"/>
          <w:szCs w:val="21"/>
        </w:rPr>
        <w:t>参加政府采购活动的监狱企业提供由省级以上监狱管理局戒毒管理局(含新疆生产建设兵团)出具的属于监狱企业的证明文件，</w:t>
      </w:r>
      <w:r>
        <w:rPr>
          <w:rFonts w:hint="eastAsia" w:ascii="Arial" w:hAnsi="Arial" w:cs="Arial"/>
          <w:kern w:val="0"/>
          <w:szCs w:val="21"/>
        </w:rPr>
        <w:t>监狱和戒毒企业享受政府采购支持政策的要求详见《关于政府采购支持监狱企业发展有关问题的通知》（财库〔2014〕68号）。</w:t>
      </w:r>
    </w:p>
    <w:p>
      <w:pPr>
        <w:spacing w:line="360" w:lineRule="auto"/>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w:t>
      </w:r>
      <w:r>
        <w:rPr>
          <w:rFonts w:cs="宋体" w:asciiTheme="minorEastAsia" w:hAnsiTheme="minorEastAsia" w:eastAsiaTheme="minorEastAsia"/>
          <w:b/>
          <w:bCs/>
          <w:kern w:val="0"/>
          <w:szCs w:val="21"/>
        </w:rPr>
        <w:t>.3</w:t>
      </w:r>
      <w:r>
        <w:rPr>
          <w:rFonts w:hint="eastAsia" w:cs="宋体" w:asciiTheme="minorEastAsia" w:hAnsiTheme="minorEastAsia" w:eastAsiaTheme="minorEastAsia"/>
          <w:b/>
          <w:bCs/>
          <w:kern w:val="0"/>
          <w:szCs w:val="21"/>
        </w:rPr>
        <w:t>促进残疾人就业政策</w:t>
      </w:r>
    </w:p>
    <w:p>
      <w:pPr>
        <w:spacing w:line="360" w:lineRule="auto"/>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（1）根据《关于促进残疾人就业政府采购政策的通知》，</w:t>
      </w:r>
      <w:r>
        <w:rPr>
          <w:rFonts w:ascii="Arial" w:hAnsi="Arial" w:cs="Arial"/>
          <w:color w:val="333333"/>
          <w:szCs w:val="21"/>
          <w:shd w:val="clear" w:color="auto" w:fill="FFFFFF"/>
        </w:rPr>
        <w:t>在政府采购活动中残疾人福利性单位视同小型、微型企业，享受预留份额、评审中价格扣除等促进中小企业发展的政府采购政策。残疾人福利性单位属于小型、微型企业的，不重复享受政策。</w:t>
      </w:r>
    </w:p>
    <w:p>
      <w:pPr>
        <w:widowControl/>
        <w:shd w:val="clear" w:color="auto" w:fill="FFFFFF"/>
        <w:spacing w:line="360" w:lineRule="auto"/>
        <w:ind w:firstLine="420"/>
        <w:rPr>
          <w:rFonts w:ascii="Arial" w:hAnsi="Arial" w:cs="Arial"/>
          <w:kern w:val="0"/>
          <w:szCs w:val="21"/>
        </w:rPr>
      </w:pPr>
      <w:r>
        <w:rPr>
          <w:rFonts w:hint="eastAsia" w:ascii="Arial" w:hAnsi="Arial" w:cs="Arial"/>
          <w:color w:val="333333"/>
          <w:szCs w:val="21"/>
          <w:shd w:val="clear" w:color="auto" w:fill="FFFFFF"/>
        </w:rPr>
        <w:t>（2）</w:t>
      </w:r>
      <w:r>
        <w:rPr>
          <w:rFonts w:hint="eastAsia" w:cs="宋体" w:asciiTheme="minorEastAsia" w:hAnsiTheme="minorEastAsia" w:eastAsiaTheme="minorEastAsia"/>
          <w:kern w:val="0"/>
          <w:szCs w:val="21"/>
        </w:rPr>
        <w:t>参加政府采购活动的残疾人福利性单位提供《残疾人福利性单位声明函》，</w:t>
      </w:r>
      <w:r>
        <w:rPr>
          <w:rFonts w:hint="eastAsia" w:ascii="Arial" w:hAnsi="Arial" w:cs="Arial"/>
          <w:kern w:val="0"/>
          <w:szCs w:val="21"/>
        </w:rPr>
        <w:t>残疾人福利性单位享受政府采购支持政策的要求详见《关于促进残疾人就业政府采购政策的通知》（财库〔2017〕141号）。</w:t>
      </w:r>
    </w:p>
    <w:p>
      <w:pPr>
        <w:widowControl/>
        <w:shd w:val="clear" w:color="auto" w:fill="FFFFFF"/>
        <w:spacing w:line="360" w:lineRule="auto"/>
        <w:ind w:firstLine="42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3.</w:t>
      </w:r>
      <w:r>
        <w:rPr>
          <w:rFonts w:cs="宋体" w:asciiTheme="minorEastAsia" w:hAnsiTheme="minorEastAsia" w:eastAsiaTheme="minorEastAsia"/>
          <w:b/>
          <w:kern w:val="0"/>
          <w:szCs w:val="21"/>
        </w:rPr>
        <w:t>4</w:t>
      </w:r>
      <w:r>
        <w:rPr>
          <w:rFonts w:hint="eastAsia" w:cs="宋体" w:asciiTheme="minorEastAsia" w:hAnsiTheme="minorEastAsia" w:eastAsiaTheme="minorEastAsia"/>
          <w:b/>
          <w:kern w:val="0"/>
          <w:szCs w:val="21"/>
        </w:rPr>
        <w:t xml:space="preserve">节能产品、环境标志产品政策 </w:t>
      </w:r>
    </w:p>
    <w:p>
      <w:pPr>
        <w:widowControl/>
        <w:shd w:val="clear" w:color="auto" w:fill="FFFFFF"/>
        <w:spacing w:line="360" w:lineRule="auto"/>
        <w:ind w:firstLine="420"/>
        <w:rPr>
          <w:rFonts w:ascii="宋体" w:hAnsi="宋体" w:cs="宋体"/>
          <w:kern w:val="0"/>
        </w:rPr>
      </w:pPr>
      <w:r>
        <w:rPr>
          <w:rFonts w:hint="eastAsia" w:ascii="宋体" w:hAnsi="宋体" w:cs="宋体"/>
          <w:kern w:val="0"/>
        </w:rPr>
        <w:t>（1）政府采购节能产品、环境标志产品实施品目清单管理。</w:t>
      </w:r>
    </w:p>
    <w:p>
      <w:pPr>
        <w:widowControl/>
        <w:shd w:val="clear" w:color="auto" w:fill="FFFFFF"/>
        <w:spacing w:line="360" w:lineRule="auto"/>
        <w:ind w:firstLine="420"/>
        <w:rPr>
          <w:rFonts w:ascii="宋体" w:hAnsi="宋体" w:cs="宋体"/>
          <w:kern w:val="0"/>
        </w:rPr>
      </w:pPr>
      <w:r>
        <w:rPr>
          <w:rFonts w:hint="eastAsia" w:ascii="宋体" w:hAnsi="宋体" w:cs="宋体"/>
          <w:kern w:val="0"/>
        </w:rPr>
        <w:t>（2）拟采购产品属于节能产品、环境标志产品品目清单规定必须强制采购的，实行强制采购。</w:t>
      </w:r>
    </w:p>
    <w:p>
      <w:pPr>
        <w:widowControl/>
        <w:shd w:val="clear" w:color="auto" w:fill="FFFFFF"/>
        <w:spacing w:line="360" w:lineRule="auto"/>
        <w:ind w:firstLine="420"/>
        <w:rPr>
          <w:rFonts w:ascii="宋体" w:hAnsi="宋体" w:cs="宋体"/>
          <w:kern w:val="0"/>
        </w:rPr>
      </w:pPr>
      <w:r>
        <w:rPr>
          <w:rFonts w:hint="eastAsia" w:ascii="宋体" w:hAnsi="宋体" w:cs="宋体"/>
          <w:kern w:val="0"/>
        </w:rPr>
        <w:t>（3）拟采购产品属于节能产品、环境标志产品品目清单规定优先采购的，在性能、技术、服务等指标同等条件下，实行优先采购，分别给予投标价2%价格扣除，用扣除后的价格参与评审（特别说明：节能、环保产品必须为财政部、国家发改委公布的“节能产品政府采购清单”范围内的）。</w:t>
      </w:r>
    </w:p>
    <w:p>
      <w:pPr>
        <w:widowControl/>
        <w:shd w:val="clear" w:color="auto" w:fill="FFFFFF"/>
        <w:spacing w:line="360" w:lineRule="auto"/>
        <w:ind w:firstLine="420"/>
        <w:rPr>
          <w:rFonts w:ascii="宋体" w:hAnsi="宋体" w:cs="宋体"/>
          <w:kern w:val="0"/>
        </w:rPr>
      </w:pPr>
      <w:r>
        <w:rPr>
          <w:rFonts w:hint="eastAsia" w:ascii="宋体" w:hAnsi="宋体" w:cs="宋体"/>
          <w:kern w:val="0"/>
        </w:rPr>
        <w:t>（4）参加政府采购活动的节能产品、环境标志产品投标人应当提供国家确定的认证机构出具的、处于有效期之内的节能产品、环境标志产品认证证书。</w:t>
      </w:r>
    </w:p>
    <w:p>
      <w:pPr>
        <w:widowControl/>
        <w:shd w:val="clear" w:color="auto" w:fill="FFFFFF"/>
        <w:spacing w:line="360" w:lineRule="auto"/>
        <w:ind w:firstLine="42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3.</w:t>
      </w:r>
      <w:r>
        <w:rPr>
          <w:rFonts w:cs="宋体" w:asciiTheme="minorEastAsia" w:hAnsiTheme="minorEastAsia" w:eastAsiaTheme="minorEastAsia"/>
          <w:b/>
          <w:kern w:val="0"/>
          <w:szCs w:val="21"/>
        </w:rPr>
        <w:t>5</w:t>
      </w:r>
      <w:r>
        <w:rPr>
          <w:rFonts w:hint="eastAsia" w:cs="宋体" w:asciiTheme="minorEastAsia" w:hAnsiTheme="minorEastAsia" w:eastAsiaTheme="minorEastAsia"/>
          <w:b/>
          <w:kern w:val="0"/>
          <w:szCs w:val="21"/>
        </w:rPr>
        <w:tab/>
      </w:r>
      <w:r>
        <w:rPr>
          <w:rFonts w:hint="eastAsia" w:cs="宋体" w:asciiTheme="minorEastAsia" w:hAnsiTheme="minorEastAsia" w:eastAsiaTheme="minorEastAsia"/>
          <w:b/>
          <w:kern w:val="0"/>
          <w:szCs w:val="21"/>
        </w:rPr>
        <w:t>进口产品政策</w:t>
      </w:r>
    </w:p>
    <w:p>
      <w:pPr>
        <w:widowControl/>
        <w:shd w:val="clear" w:color="auto" w:fill="FFFFFF"/>
        <w:spacing w:line="360" w:lineRule="auto"/>
        <w:ind w:firstLine="420"/>
        <w:rPr>
          <w:rFonts w:ascii="Arial" w:hAnsi="Arial" w:cs="Arial"/>
          <w:kern w:val="0"/>
          <w:szCs w:val="21"/>
        </w:rPr>
      </w:pPr>
      <w:r>
        <w:rPr>
          <w:rFonts w:hint="eastAsia" w:ascii="Arial" w:hAnsi="Arial" w:cs="Arial"/>
          <w:kern w:val="0"/>
          <w:szCs w:val="21"/>
        </w:rPr>
        <w:t>（1）除招标公告载明接受进口产品参加外，不允许进口产品参加。进口产品认定依照《财政部关于政府采购进口产品管理有关问题的通知》（财办库〔2008〕248号）的规定。</w:t>
      </w:r>
    </w:p>
    <w:p>
      <w:pPr>
        <w:widowControl/>
        <w:shd w:val="clear" w:color="auto" w:fill="FFFFFF"/>
        <w:spacing w:line="360" w:lineRule="auto"/>
        <w:ind w:firstLine="420"/>
        <w:rPr>
          <w:rFonts w:ascii="Arial" w:hAnsi="Arial" w:cs="Arial"/>
          <w:kern w:val="0"/>
          <w:szCs w:val="21"/>
        </w:rPr>
      </w:pPr>
      <w:r>
        <w:rPr>
          <w:rFonts w:hint="eastAsia" w:ascii="Arial" w:hAnsi="Arial" w:cs="Arial"/>
          <w:kern w:val="0"/>
          <w:szCs w:val="21"/>
        </w:rPr>
        <w:t>（2）允许进口产品参加的，满足需求的国内产品可以参加。</w:t>
      </w:r>
    </w:p>
    <w:p>
      <w:pPr>
        <w:widowControl/>
        <w:shd w:val="clear" w:color="auto" w:fill="FFFFFF"/>
        <w:spacing w:line="360" w:lineRule="auto"/>
        <w:ind w:firstLine="420"/>
        <w:rPr>
          <w:rFonts w:ascii="Arial" w:hAnsi="Arial" w:cs="Arial"/>
          <w:kern w:val="0"/>
          <w:szCs w:val="21"/>
        </w:rPr>
      </w:pPr>
      <w:r>
        <w:rPr>
          <w:rFonts w:hint="eastAsia" w:ascii="Arial" w:hAnsi="Arial" w:cs="Arial"/>
          <w:kern w:val="0"/>
          <w:szCs w:val="21"/>
        </w:rPr>
        <w:t>（3）允许进口产品参加的，优先采购向我国企业转让技术、与我国企业签订消化吸收再创新方案的投标人的进口产品。</w:t>
      </w:r>
    </w:p>
    <w:p>
      <w:pPr>
        <w:widowControl/>
        <w:shd w:val="clear" w:color="auto" w:fill="FFFFFF"/>
        <w:spacing w:line="360" w:lineRule="auto"/>
        <w:ind w:firstLine="420"/>
        <w:rPr>
          <w:rFonts w:ascii="Arial" w:hAnsi="Arial" w:cs="Arial"/>
          <w:kern w:val="0"/>
          <w:szCs w:val="21"/>
        </w:rPr>
      </w:pPr>
      <w:r>
        <w:rPr>
          <w:rFonts w:hint="eastAsia" w:ascii="Arial" w:hAnsi="Arial" w:cs="Arial"/>
          <w:kern w:val="0"/>
          <w:szCs w:val="21"/>
        </w:rPr>
        <w:t>3.</w:t>
      </w:r>
      <w:r>
        <w:rPr>
          <w:rFonts w:ascii="Arial" w:hAnsi="Arial" w:cs="Arial"/>
          <w:kern w:val="0"/>
          <w:szCs w:val="21"/>
        </w:rPr>
        <w:t>6</w:t>
      </w:r>
      <w:r>
        <w:rPr>
          <w:rFonts w:hint="eastAsia" w:ascii="Arial" w:hAnsi="Arial" w:cs="Arial"/>
          <w:kern w:val="0"/>
          <w:szCs w:val="21"/>
        </w:rPr>
        <w:t>强制采购信息安全产品。参加政府采购活动的信息安全产品投标人应当选择经国家认证的信息安全产品投标，并提供由国家信息安全认证中心按国家标准认证颁发的有效认证证书。</w:t>
      </w:r>
    </w:p>
    <w:p>
      <w:pPr>
        <w:widowControl/>
        <w:shd w:val="clear" w:color="auto" w:fill="FFFFFF"/>
        <w:spacing w:line="360" w:lineRule="auto"/>
        <w:ind w:firstLine="412"/>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二、招标文件构成 </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4、招标文件组成 </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4.1招标文件包括以下主要内容：招标公告（投标邀请）；投标人须知（包括投标文件的密封、签署、盖章要求等）；投标人应当提交的资格或资信证明文件；为落实政府采购政策，采购标的需满足的要求，以及投标人须提供的证明材料；投标文件编制要求、投标报价要求；采购项目预算金额，设定最高限价的，还应当公开最高限价；采购项目的技术规格、数量、服务标准、验收等要求，包括附件、图纸等；拟签订的合同文本；货物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4.2 采购的最小单位是包。采购货物数量及技术要求中未分包的，投标人对要求提供的货物不得部分投标；</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货物数量及技术要求中已经分包的，可以以包为单位投标。</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4.3 采购代理机构如果要求投标人按照招标文件规定提交备选投标方案的，投标人可以提交备选方案；否则，备选方案将被拒绝。</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5、招标文件的澄清或者修改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5.1</w:t>
      </w:r>
      <w:r>
        <w:rPr>
          <w:rFonts w:asciiTheme="minorEastAsia" w:hAnsiTheme="minorEastAsia" w:eastAsiaTheme="minorEastAsia"/>
          <w:kern w:val="0"/>
          <w:szCs w:val="21"/>
        </w:rPr>
        <w:t>采购人或者采购代理机构可以对已发出的招标文件、资格预审文件、投标邀请进行必要的澄清或者修改，但不得改变采购标的和资格条件。澄清或者修改应当在原公告发布媒体上发布澄清公告。澄清或者修改的内容为招标文件、资格预审文件、投标邀请的组成部分。</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5.2采购人或者采购代理机构在招标文件要求提交投标文件截止时间三日前，有权决定延长投标截止时间和开标时间，并在原采购信息发布媒体上发布变更公告。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三、投标文件的编制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6、投标文件的语言、计量单位、货币和编制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6.1投标人提交的投标文件、技术文件和资料，包括图纸中的说明，以及投标人与代理机构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6.2投标人所使用的计量单位应为国家法定计量单位。</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6.3投标人应用人民币报价。投标产品如果是进口产品的，应提供人民币与外币之间的汇率；报价单位为“元”。</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6.4投标文件应字迹清楚、内容齐全、不得涂改。如有修改，修改处须有投标人公章或投标专用章和法定代表人或其授权的委托代理人签字。</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6.5投标文件应按照招标文件规定的顺序，统一用A4规格幅面打印、装订成册并编制目录，由于编排混乱导致投标文件被误读或查找不到，责任由投标人承担。</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6.6投标人应在投标文件中写清相应的项目编号、项目名称、投标人全称、地址、电话、传真等。</w:t>
      </w:r>
    </w:p>
    <w:p>
      <w:pPr>
        <w:widowControl/>
        <w:shd w:val="clear" w:color="auto" w:fill="FFFFFF"/>
        <w:spacing w:line="360" w:lineRule="auto"/>
        <w:ind w:firstLine="412"/>
        <w:rPr>
          <w:rFonts w:asciiTheme="minorEastAsia" w:hAnsiTheme="minorEastAsia" w:eastAsiaTheme="minorEastAsia"/>
          <w:kern w:val="0"/>
          <w:szCs w:val="21"/>
        </w:rPr>
      </w:pPr>
      <w:r>
        <w:rPr>
          <w:rFonts w:hint="eastAsia" w:asciiTheme="minorEastAsia" w:hAnsiTheme="minorEastAsia" w:eastAsiaTheme="minorEastAsia"/>
          <w:bCs/>
          <w:kern w:val="0"/>
          <w:szCs w:val="21"/>
        </w:rPr>
        <w:t>6.7</w:t>
      </w:r>
      <w:r>
        <w:rPr>
          <w:rFonts w:hint="eastAsia" w:asciiTheme="minorEastAsia" w:hAnsiTheme="minorEastAsia" w:eastAsiaTheme="minorEastAsia"/>
          <w:kern w:val="0"/>
          <w:szCs w:val="21"/>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7、投标文件的组成</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7.1投标人应当根据招标文件要求编制投标文件，投标文件应对招标文件提出的要求和条件作出实质性响应，并在《商务条款偏离表》和《技术规格偏离表》等处逐条标明满足与否。</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7.2 投标文件由商务部分、技术部分、价格部分以及其他部分组成。</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8、投标文件的商务部分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8.1商务部分是证明投标人有资格参加投标和中标后有能力履行合同的文件，这些文件应能满足</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的要求，包括但不限于下列文件（</w:t>
      </w:r>
      <w:r>
        <w:rPr>
          <w:rFonts w:hint="eastAsia" w:asciiTheme="minorEastAsia" w:hAnsiTheme="minorEastAsia" w:eastAsiaTheme="minorEastAsia"/>
          <w:b/>
          <w:kern w:val="0"/>
          <w:szCs w:val="21"/>
        </w:rPr>
        <w:t>（1）-（</w:t>
      </w:r>
      <w:r>
        <w:rPr>
          <w:rFonts w:asciiTheme="minorEastAsia" w:hAnsiTheme="minorEastAsia" w:eastAsiaTheme="minorEastAsia"/>
          <w:b/>
          <w:kern w:val="0"/>
          <w:szCs w:val="21"/>
        </w:rPr>
        <w:t>4</w:t>
      </w:r>
      <w:r>
        <w:rPr>
          <w:rFonts w:hint="eastAsia" w:asciiTheme="minorEastAsia" w:hAnsiTheme="minorEastAsia" w:eastAsiaTheme="minorEastAsia"/>
          <w:b/>
          <w:kern w:val="0"/>
          <w:szCs w:val="21"/>
        </w:rPr>
        <w:t>）所述材料如提供不全或不满足招标文件的实质性要求，其投标文件按无效投标处理</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（1）投标函（投标申请及声明）</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格式见附件</w:t>
      </w:r>
      <w:r>
        <w:rPr>
          <w:rFonts w:hint="eastAsia" w:asciiTheme="minorEastAsia" w:hAnsiTheme="minorEastAsia" w:eastAsiaTheme="minorEastAsia"/>
          <w:bCs/>
          <w:szCs w:val="21"/>
        </w:rPr>
        <w:t>）</w:t>
      </w:r>
      <w:r>
        <w:rPr>
          <w:rFonts w:hint="eastAsia" w:asciiTheme="minorEastAsia" w:hAnsiTheme="minorEastAsia" w:eastAsiaTheme="minorEastAsia"/>
          <w:kern w:val="0"/>
          <w:szCs w:val="21"/>
        </w:rPr>
        <w:t>；</w:t>
      </w:r>
    </w:p>
    <w:p>
      <w:pPr>
        <w:widowControl/>
        <w:shd w:val="clear" w:color="auto" w:fill="FFFFFF"/>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（2）法定代表人授权委托书及委托代理人的身份证明文件的复印件</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格式见附件</w:t>
      </w:r>
      <w:r>
        <w:rPr>
          <w:rFonts w:hint="eastAsia" w:asciiTheme="minorEastAsia" w:hAnsiTheme="minorEastAsia" w:eastAsiaTheme="minorEastAsia"/>
          <w:bCs/>
          <w:szCs w:val="21"/>
        </w:rPr>
        <w:t>）</w:t>
      </w:r>
      <w:r>
        <w:rPr>
          <w:rFonts w:hint="eastAsia" w:cs="宋体"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（3）投标人资格证明文件：</w:t>
      </w:r>
    </w:p>
    <w:p>
      <w:pPr>
        <w:pStyle w:val="66"/>
        <w:tabs>
          <w:tab w:val="left" w:pos="630"/>
          <w:tab w:val="left" w:pos="840"/>
        </w:tabs>
        <w:spacing w:line="360" w:lineRule="auto"/>
        <w:ind w:left="368"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①第一章招标公告</w:t>
      </w:r>
      <w:r>
        <w:rPr>
          <w:rFonts w:hint="eastAsia"/>
        </w:rPr>
        <w:t>（投标邀请）</w:t>
      </w:r>
      <w:r>
        <w:rPr>
          <w:rFonts w:hint="eastAsia" w:asciiTheme="minorEastAsia" w:hAnsiTheme="minorEastAsia" w:eastAsiaTheme="minorEastAsia"/>
          <w:bCs/>
          <w:szCs w:val="21"/>
        </w:rPr>
        <w:t>中</w:t>
      </w:r>
      <w:r>
        <w:rPr>
          <w:rFonts w:asciiTheme="minorEastAsia" w:hAnsiTheme="minorEastAsia" w:eastAsiaTheme="minorEastAsia"/>
          <w:bCs/>
          <w:szCs w:val="21"/>
        </w:rPr>
        <w:t>2.1</w:t>
      </w:r>
      <w:r>
        <w:rPr>
          <w:rFonts w:hint="eastAsia" w:asciiTheme="minorEastAsia" w:hAnsiTheme="minorEastAsia" w:eastAsiaTheme="minorEastAsia"/>
          <w:bCs/>
          <w:szCs w:val="21"/>
        </w:rPr>
        <w:t>《中华人民共和国政府采购法》规定的资格</w:t>
      </w:r>
      <w:bookmarkStart w:id="24" w:name="_Hlk68004975"/>
      <w:r>
        <w:rPr>
          <w:rFonts w:hint="eastAsia" w:asciiTheme="minorEastAsia" w:hAnsiTheme="minorEastAsia" w:eastAsiaTheme="minorEastAsia"/>
          <w:bCs/>
          <w:szCs w:val="21"/>
        </w:rPr>
        <w:t>证明文件</w:t>
      </w:r>
      <w:bookmarkEnd w:id="24"/>
      <w:r>
        <w:rPr>
          <w:rFonts w:hint="eastAsia" w:asciiTheme="minorEastAsia" w:hAnsiTheme="minorEastAsia" w:eastAsiaTheme="minorEastAsia"/>
          <w:bCs/>
          <w:szCs w:val="21"/>
        </w:rPr>
        <w:t xml:space="preserve">； </w:t>
      </w:r>
    </w:p>
    <w:p>
      <w:pPr>
        <w:pStyle w:val="66"/>
        <w:tabs>
          <w:tab w:val="left" w:pos="630"/>
          <w:tab w:val="left" w:pos="840"/>
        </w:tabs>
        <w:spacing w:line="360" w:lineRule="auto"/>
        <w:ind w:left="368"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②第一章招标公告</w:t>
      </w:r>
      <w:r>
        <w:rPr>
          <w:rFonts w:hint="eastAsia"/>
        </w:rPr>
        <w:t>（投标邀请）</w:t>
      </w:r>
      <w:r>
        <w:rPr>
          <w:rFonts w:hint="eastAsia" w:asciiTheme="minorEastAsia" w:hAnsiTheme="minorEastAsia" w:eastAsiaTheme="minorEastAsia"/>
          <w:bCs/>
          <w:szCs w:val="21"/>
        </w:rPr>
        <w:t>中</w:t>
      </w:r>
      <w:r>
        <w:rPr>
          <w:rFonts w:asciiTheme="minorEastAsia" w:hAnsiTheme="minorEastAsia" w:eastAsiaTheme="minorEastAsia"/>
          <w:bCs/>
          <w:szCs w:val="21"/>
        </w:rPr>
        <w:t xml:space="preserve">2.3 </w:t>
      </w:r>
      <w:r>
        <w:rPr>
          <w:rFonts w:hint="eastAsia" w:asciiTheme="minorEastAsia" w:hAnsiTheme="minorEastAsia" w:eastAsiaTheme="minorEastAsia"/>
          <w:bCs/>
          <w:szCs w:val="21"/>
        </w:rPr>
        <w:t>本项目特定资格要求证明文件（如有）；</w:t>
      </w:r>
    </w:p>
    <w:p>
      <w:pPr>
        <w:spacing w:line="360" w:lineRule="auto"/>
        <w:ind w:firstLine="420" w:firstLineChars="200"/>
        <w:jc w:val="left"/>
        <w:rPr>
          <w:rFonts w:ascii="宋体" w:hAnsi="宋体" w:cs="Arial"/>
          <w:bCs/>
          <w:szCs w:val="21"/>
        </w:rPr>
      </w:pPr>
      <w:r>
        <w:rPr>
          <w:rFonts w:hint="eastAsia" w:ascii="宋体" w:hAnsi="宋体" w:cs="Arial"/>
          <w:bCs/>
          <w:szCs w:val="21"/>
        </w:rPr>
        <w:t>（</w:t>
      </w:r>
      <w:r>
        <w:rPr>
          <w:rFonts w:ascii="宋体" w:hAnsi="宋体" w:cs="Arial"/>
          <w:bCs/>
          <w:szCs w:val="21"/>
        </w:rPr>
        <w:t>4</w:t>
      </w:r>
      <w:r>
        <w:rPr>
          <w:rFonts w:hint="eastAsia" w:ascii="宋体" w:hAnsi="宋体" w:cs="Arial"/>
          <w:bCs/>
          <w:szCs w:val="21"/>
        </w:rPr>
        <w:t>）投标人未被“信用中国”网站（www.creditchina.gov.cn）、“中国政府采购网”(www.ccgp.gov.cn)列入失信被执行人、重大税收违法案件当事人名单、政府采购严重违法失信行为记录名单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bCs/>
          <w:szCs w:val="21"/>
        </w:rPr>
        <w:t>证明文件</w:t>
      </w:r>
      <w:r>
        <w:rPr>
          <w:rFonts w:hint="eastAsia" w:ascii="宋体" w:hAnsi="宋体" w:cs="Arial"/>
          <w:bCs/>
          <w:szCs w:val="21"/>
        </w:rPr>
        <w:t>；</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5</w:t>
      </w:r>
      <w:r>
        <w:rPr>
          <w:rFonts w:hint="eastAsia" w:asciiTheme="minorEastAsia" w:hAnsiTheme="minorEastAsia" w:eastAsiaTheme="minorEastAsia"/>
          <w:kern w:val="0"/>
          <w:szCs w:val="21"/>
        </w:rPr>
        <w:t>）开标一览表</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格式见附件</w:t>
      </w:r>
      <w:r>
        <w:rPr>
          <w:rFonts w:hint="eastAsia" w:asciiTheme="minorEastAsia" w:hAnsiTheme="minorEastAsia" w:eastAsiaTheme="minorEastAsia"/>
          <w:bCs/>
          <w:szCs w:val="21"/>
        </w:rPr>
        <w:t>）；</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6</w:t>
      </w:r>
      <w:r>
        <w:rPr>
          <w:rFonts w:hint="eastAsia" w:asciiTheme="minorEastAsia" w:hAnsiTheme="minorEastAsia" w:eastAsiaTheme="minorEastAsia"/>
          <w:kern w:val="0"/>
          <w:szCs w:val="21"/>
        </w:rPr>
        <w:t>）分项报价表</w:t>
      </w:r>
      <w:r>
        <w:rPr>
          <w:rFonts w:hint="eastAsia" w:asciiTheme="minorEastAsia" w:hAnsiTheme="minorEastAsia" w:eastAsiaTheme="minorEastAsia"/>
          <w:szCs w:val="21"/>
        </w:rPr>
        <w:t>（如有）</w:t>
      </w:r>
      <w:r>
        <w:rPr>
          <w:rFonts w:hint="eastAsia" w:asciiTheme="minorEastAsia" w:hAnsiTheme="minorEastAsia" w:eastAsiaTheme="minorEastAsia"/>
          <w:kern w:val="0"/>
          <w:szCs w:val="21"/>
        </w:rPr>
        <w:t>；</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7</w:t>
      </w:r>
      <w:r>
        <w:rPr>
          <w:rFonts w:hint="eastAsia" w:asciiTheme="minorEastAsia" w:hAnsiTheme="minorEastAsia" w:eastAsiaTheme="minorEastAsia"/>
          <w:kern w:val="0"/>
          <w:szCs w:val="21"/>
        </w:rPr>
        <w:t>）《商务条款偏离表》；</w:t>
      </w:r>
    </w:p>
    <w:p>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8</w:t>
      </w:r>
      <w:r>
        <w:rPr>
          <w:rFonts w:hint="eastAsia" w:asciiTheme="minorEastAsia" w:hAnsiTheme="minorEastAsia" w:eastAsiaTheme="minorEastAsia"/>
          <w:kern w:val="0"/>
          <w:szCs w:val="21"/>
        </w:rPr>
        <w:t>）</w:t>
      </w:r>
      <w:r>
        <w:rPr>
          <w:rFonts w:hint="eastAsia" w:cs="宋体" w:asciiTheme="minorEastAsia" w:hAnsiTheme="minorEastAsia" w:eastAsiaTheme="minorEastAsia"/>
          <w:szCs w:val="21"/>
          <w:lang w:val="zh-CN"/>
        </w:rPr>
        <w:t>投标人认为需要提供的其他资格证明文件和商务资料。</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9、投标文件的技术部分</w:t>
      </w:r>
    </w:p>
    <w:p>
      <w:pPr>
        <w:widowControl/>
        <w:adjustRightInd w:val="0"/>
        <w:spacing w:line="360" w:lineRule="auto"/>
        <w:ind w:firstLine="42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9</w:t>
      </w: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技术部分是证明</w:t>
      </w:r>
      <w:r>
        <w:rPr>
          <w:rFonts w:hint="eastAsia" w:asciiTheme="minorEastAsia" w:hAnsiTheme="minorEastAsia" w:eastAsiaTheme="minorEastAsia"/>
          <w:szCs w:val="21"/>
        </w:rPr>
        <w:t>投标人提供的</w:t>
      </w:r>
      <w:r>
        <w:rPr>
          <w:rFonts w:hint="eastAsia" w:asciiTheme="minorEastAsia" w:hAnsiTheme="minorEastAsia" w:eastAsiaTheme="minorEastAsia"/>
          <w:kern w:val="0"/>
          <w:szCs w:val="21"/>
        </w:rPr>
        <w:t>货物和配套服务</w:t>
      </w:r>
      <w:r>
        <w:rPr>
          <w:rFonts w:hint="eastAsia" w:asciiTheme="minorEastAsia" w:hAnsiTheme="minorEastAsia" w:eastAsiaTheme="minorEastAsia"/>
          <w:szCs w:val="21"/>
        </w:rPr>
        <w:t>是合格的、并符合招标文件要求的证明文件，以及</w:t>
      </w:r>
      <w:r>
        <w:rPr>
          <w:rFonts w:hint="eastAsia" w:asciiTheme="minorEastAsia" w:hAnsiTheme="minorEastAsia" w:eastAsiaTheme="minorEastAsia"/>
          <w:szCs w:val="21"/>
          <w:lang w:val="zh-CN"/>
        </w:rPr>
        <w:t>对</w:t>
      </w:r>
      <w:r>
        <w:rPr>
          <w:rFonts w:hint="eastAsia" w:asciiTheme="minorEastAsia" w:hAnsiTheme="minorEastAsia" w:eastAsiaTheme="minorEastAsia"/>
          <w:kern w:val="0"/>
          <w:szCs w:val="21"/>
        </w:rPr>
        <w:t>货物</w:t>
      </w:r>
      <w:r>
        <w:rPr>
          <w:rFonts w:hint="eastAsia" w:asciiTheme="minorEastAsia" w:hAnsiTheme="minorEastAsia" w:eastAsiaTheme="minorEastAsia"/>
          <w:szCs w:val="21"/>
          <w:lang w:val="zh-CN"/>
        </w:rPr>
        <w:t>的详细说明，这些文件可以是文字资料、图纸和数据等，若技术性能无特殊说明，则按国家有关部门最新颁布的标准及规范为准，提供的技术如与招标文件要求有不符之处，应说明其差别之所在，</w:t>
      </w:r>
      <w:bookmarkStart w:id="25" w:name="_Hlk68005868"/>
      <w:r>
        <w:rPr>
          <w:rFonts w:hint="eastAsia" w:asciiTheme="minorEastAsia" w:hAnsiTheme="minorEastAsia" w:eastAsiaTheme="minorEastAsia"/>
          <w:szCs w:val="21"/>
          <w:lang w:val="zh-CN"/>
        </w:rPr>
        <w:t>并在《技术条款偏离表》中逐条予以说明，</w:t>
      </w:r>
      <w:bookmarkEnd w:id="25"/>
      <w:r>
        <w:rPr>
          <w:rFonts w:hint="eastAsia" w:asciiTheme="minorEastAsia" w:hAnsiTheme="minorEastAsia" w:eastAsiaTheme="minorEastAsia"/>
          <w:szCs w:val="21"/>
          <w:lang w:val="zh-CN"/>
        </w:rPr>
        <w:t>投标文件应按照招标文件要求提供技术资料、文件和有关证明，包括但不限于下列文件：</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（1）技术说明或技术性能；</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2</w:t>
      </w:r>
      <w:r>
        <w:rPr>
          <w:rFonts w:hint="eastAsia" w:cs="宋体" w:asciiTheme="minorEastAsia" w:hAnsiTheme="minorEastAsia" w:eastAsiaTheme="minorEastAsia"/>
          <w:kern w:val="0"/>
          <w:szCs w:val="21"/>
          <w:lang w:val="zh-CN"/>
        </w:rPr>
        <w:t>）售后服务承诺；</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3</w:t>
      </w:r>
      <w:r>
        <w:rPr>
          <w:rFonts w:hint="eastAsia" w:cs="宋体" w:asciiTheme="minorEastAsia" w:hAnsiTheme="minorEastAsia" w:eastAsiaTheme="minorEastAsia"/>
          <w:kern w:val="0"/>
          <w:szCs w:val="21"/>
          <w:lang w:val="zh-CN"/>
        </w:rPr>
        <w:t>）投标人拟投入本项目的设备、人员情况一览表；</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4</w:t>
      </w:r>
      <w:r>
        <w:rPr>
          <w:rFonts w:hint="eastAsia" w:cs="宋体" w:asciiTheme="minorEastAsia" w:hAnsiTheme="minorEastAsia" w:eastAsiaTheme="minorEastAsia"/>
          <w:kern w:val="0"/>
          <w:szCs w:val="21"/>
          <w:lang w:val="zh-CN"/>
        </w:rPr>
        <w:t>）《技术条款偏离表》；</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（5）投标人认为需要提供的其他技术资料。</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10、投标文件的价格部分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10.1价格部分是对采购标的价格构成的说明，招标文件如无特别说明，每一项货物仅接受一个价格。</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10.2报价应包含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10.3投标人的任何错漏、优惠、竞争性报价不得作为减轻责任、减少服务、增加收费、降低质量的理由。</w:t>
      </w:r>
    </w:p>
    <w:p>
      <w:pPr>
        <w:widowControl/>
        <w:shd w:val="clear" w:color="auto" w:fill="FFFFFF"/>
        <w:spacing w:line="360" w:lineRule="auto"/>
        <w:ind w:firstLine="420"/>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10.4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10.5 投标人应在《开标一览表》、《分项报价》等标明投标货物的单价、总价以及分项报价。</w:t>
      </w:r>
      <w:bookmarkStart w:id="26" w:name="_Hlk68008917"/>
      <w:r>
        <w:rPr>
          <w:rFonts w:hint="eastAsia" w:asciiTheme="minorEastAsia" w:hAnsiTheme="minorEastAsia" w:eastAsiaTheme="minorEastAsia"/>
          <w:kern w:val="0"/>
          <w:szCs w:val="21"/>
        </w:rPr>
        <w:t>投标人系中小企业（含小型、微型企业）、残疾人福利性单位、监狱企业，并提供本企业制造的货物、承担的工程或者服务，或者提供其他小企业、残疾人福利性单位、监狱企业制造的货物和服务的，须在《开标一览表》中注明,投标人应当如实申报,否则评标委员会有权取消其小微企业、残疾人福利性单位、监狱企业优惠政策。</w:t>
      </w:r>
    </w:p>
    <w:bookmarkEnd w:id="26"/>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10.6 《</w:t>
      </w:r>
      <w:bookmarkStart w:id="27" w:name="_Hlk68008122"/>
      <w:r>
        <w:rPr>
          <w:rFonts w:hint="eastAsia" w:asciiTheme="minorEastAsia" w:hAnsiTheme="minorEastAsia" w:eastAsiaTheme="minorEastAsia"/>
          <w:kern w:val="0"/>
          <w:szCs w:val="21"/>
        </w:rPr>
        <w:t>开标一览表</w:t>
      </w:r>
      <w:bookmarkEnd w:id="27"/>
      <w:r>
        <w:rPr>
          <w:rFonts w:hint="eastAsia" w:asciiTheme="minorEastAsia" w:hAnsiTheme="minorEastAsia" w:eastAsiaTheme="minorEastAsia"/>
          <w:kern w:val="0"/>
          <w:szCs w:val="21"/>
        </w:rPr>
        <w:t>》一式两份，一份装订在投标文件中，一份单独封装，并标明“开标一览表”字样，随投标文件一并递交，以便唱标时使用。</w:t>
      </w:r>
    </w:p>
    <w:p>
      <w:pPr>
        <w:widowControl/>
        <w:shd w:val="clear" w:color="auto" w:fill="FFFFFF"/>
        <w:spacing w:line="360" w:lineRule="auto"/>
        <w:ind w:firstLine="420"/>
        <w:rPr>
          <w:rFonts w:cs="宋体" w:asciiTheme="minorEastAsia" w:hAnsiTheme="minorEastAsia" w:eastAsiaTheme="minorEastAsia"/>
          <w:kern w:val="0"/>
          <w:szCs w:val="21"/>
        </w:rPr>
      </w:pPr>
      <w:bookmarkStart w:id="28" w:name="_Hlk68008927"/>
      <w:r>
        <w:rPr>
          <w:rFonts w:hint="eastAsia" w:asciiTheme="minorEastAsia" w:hAnsiTheme="minorEastAsia" w:eastAsiaTheme="minorEastAsia"/>
          <w:kern w:val="0"/>
          <w:szCs w:val="21"/>
        </w:rPr>
        <w:t>10.7本项目预算</w:t>
      </w:r>
      <w:r>
        <w:rPr>
          <w:rFonts w:hint="eastAsia" w:ascii="宋体" w:hAnsi="宋体"/>
          <w:szCs w:val="21"/>
        </w:rPr>
        <w:t>或</w:t>
      </w:r>
      <w:r>
        <w:rPr>
          <w:rFonts w:hint="eastAsia" w:asciiTheme="minorEastAsia" w:hAnsiTheme="minorEastAsia" w:eastAsiaTheme="minorEastAsia"/>
          <w:kern w:val="0"/>
          <w:szCs w:val="21"/>
        </w:rPr>
        <w:t>最高限价：详见招标文件第一章。</w:t>
      </w:r>
    </w:p>
    <w:bookmarkEnd w:id="28"/>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11、投标文件的其他部分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11.1 其他部分由投标人根据编制投标文件需要提供的其他相关文件组成。</w:t>
      </w:r>
    </w:p>
    <w:p>
      <w:pPr>
        <w:widowControl/>
        <w:shd w:val="clear" w:color="auto" w:fill="FFFFFF"/>
        <w:spacing w:line="360" w:lineRule="auto"/>
        <w:ind w:firstLine="420"/>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12、投标保证金：</w:t>
      </w:r>
      <w:r>
        <w:rPr>
          <w:rFonts w:hint="eastAsia" w:asciiTheme="minorEastAsia" w:hAnsiTheme="minorEastAsia" w:eastAsiaTheme="minorEastAsia"/>
          <w:bCs/>
          <w:szCs w:val="21"/>
        </w:rPr>
        <w:t>本项目不收取投标保证金。</w:t>
      </w:r>
    </w:p>
    <w:p>
      <w:pPr>
        <w:widowControl/>
        <w:shd w:val="clear" w:color="auto" w:fill="FFFFFF"/>
        <w:spacing w:line="360" w:lineRule="auto"/>
        <w:ind w:firstLine="420"/>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13、投标有效期</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13.1 自开标之日起</w:t>
      </w:r>
      <w:r>
        <w:rPr>
          <w:rFonts w:hint="eastAsia" w:asciiTheme="minorEastAsia" w:hAnsiTheme="minorEastAsia" w:eastAsiaTheme="minorEastAsia"/>
          <w:b/>
          <w:kern w:val="0"/>
          <w:szCs w:val="21"/>
        </w:rPr>
        <w:t>90</w:t>
      </w:r>
      <w:r>
        <w:rPr>
          <w:rFonts w:hint="eastAsia" w:asciiTheme="minorEastAsia" w:hAnsiTheme="minorEastAsia" w:eastAsiaTheme="minorEastAsia"/>
          <w:kern w:val="0"/>
          <w:szCs w:val="21"/>
        </w:rPr>
        <w:t>天内投标有效</w:t>
      </w:r>
      <w:r>
        <w:rPr>
          <w:rFonts w:hint="eastAsia" w:asciiTheme="minorEastAsia" w:hAnsiTheme="minorEastAsia" w:eastAsiaTheme="minorEastAsia"/>
          <w:b/>
          <w:szCs w:val="21"/>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13.2 特殊情况下，在原投标有效期截止之前，采购代理机构可要求投标人同意延长投标有效期，这种要求与答复均应以书面形式提交。投标人可拒绝这种要求，并且不影响投标保证金的退还（如有）。接受延长投标有效期的投标人将不会要求和允许修正其投标，而只会被要求相应地延长其投标保证金（如有）的有效期。在这种情况下，有关投标保证金（如有）的退还规定在延长了的有效期内继续有效。</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14、投标文件签署</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14.1 投标文件的正本和副本均应由投标人法人代表或经正式授权并对投标人有约束力的委托代理人签字，如果它们之间内容有差异，则以正本为准。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15、投标费用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15.1 投标人应承担所有与准备和参加投标有关的费用，无论采购结果如何，采购代理机构和采购人在任何情况下均无义务和责任承担这些费用。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kern w:val="0"/>
          <w:szCs w:val="21"/>
        </w:rPr>
        <w:t>15.2 采购代理服务费：</w:t>
      </w:r>
      <w:r>
        <w:rPr>
          <w:rFonts w:hint="eastAsia" w:asciiTheme="minorEastAsia" w:hAnsiTheme="minorEastAsia" w:eastAsiaTheme="minorEastAsia"/>
          <w:kern w:val="0"/>
          <w:szCs w:val="21"/>
        </w:rPr>
        <w:t>本次采购，中标人参照《招标代理服务费管理暂行办法》（国家发展计划委员会计价格【2002】1980号）招标收费基准费率5</w:t>
      </w:r>
      <w:r>
        <w:rPr>
          <w:rFonts w:asciiTheme="minorEastAsia" w:hAnsiTheme="minorEastAsia" w:eastAsiaTheme="minorEastAsia"/>
          <w:kern w:val="0"/>
          <w:szCs w:val="21"/>
        </w:rPr>
        <w:t>0</w:t>
      </w:r>
      <w:r>
        <w:rPr>
          <w:rFonts w:hint="eastAsia" w:asciiTheme="minorEastAsia" w:hAnsiTheme="minorEastAsia" w:eastAsiaTheme="minorEastAsia"/>
          <w:kern w:val="0"/>
          <w:szCs w:val="21"/>
        </w:rPr>
        <w:t>％计算，在领取中标通知书前向采购代理机构平均支付采购代理服务费、专家评审费据实支付。本项费用无需在投标报价表中单列。</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四、投标文件的递交</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16、投标文件的密封和递交</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16.1投标人的投标文件</w:t>
      </w:r>
      <w:r>
        <w:rPr>
          <w:rFonts w:hint="eastAsia" w:asciiTheme="minorEastAsia" w:hAnsiTheme="minorEastAsia" w:eastAsiaTheme="minorEastAsia"/>
          <w:b/>
          <w:szCs w:val="21"/>
        </w:rPr>
        <w:t>一式伍份（</w:t>
      </w:r>
      <w:r>
        <w:rPr>
          <w:rFonts w:hint="eastAsia" w:asciiTheme="minorEastAsia" w:hAnsiTheme="minorEastAsia" w:eastAsiaTheme="minorEastAsia"/>
          <w:b/>
          <w:bCs/>
          <w:kern w:val="0"/>
          <w:szCs w:val="21"/>
        </w:rPr>
        <w:t>正本壹份、副本肆份</w:t>
      </w:r>
      <w:r>
        <w:rPr>
          <w:rFonts w:hint="eastAsia" w:asciiTheme="minorEastAsia" w:hAnsiTheme="minorEastAsia" w:eastAsiaTheme="minorEastAsia"/>
          <w:b/>
          <w:szCs w:val="21"/>
        </w:rPr>
        <w:t>），同时应提供电子版投标文件（盖章版本）壹份（一般应为PDF格式、U盘形式（单独封装）、随纸质文件一并密封提交）。</w:t>
      </w:r>
      <w:r>
        <w:rPr>
          <w:rFonts w:hint="eastAsia" w:asciiTheme="minorEastAsia" w:hAnsiTheme="minorEastAsia" w:eastAsiaTheme="minorEastAsia"/>
          <w:szCs w:val="21"/>
        </w:rPr>
        <w:t>当电子版文件和纸质正本文件不一致时，以纸质正本文件为准。</w:t>
      </w:r>
      <w:r>
        <w:rPr>
          <w:rFonts w:hint="eastAsia" w:asciiTheme="minorEastAsia" w:hAnsiTheme="minorEastAsia" w:eastAsiaTheme="minorEastAsia"/>
          <w:kern w:val="0"/>
          <w:szCs w:val="21"/>
        </w:rPr>
        <w:t>每套投标文件须清楚标明“正本”、“副本”。</w:t>
      </w:r>
      <w:r>
        <w:rPr>
          <w:rFonts w:hint="eastAsia" w:asciiTheme="minorEastAsia" w:hAnsiTheme="minorEastAsia" w:eastAsiaTheme="minorEastAsia"/>
          <w:szCs w:val="21"/>
        </w:rPr>
        <w:t>如果它们之间内容有差异，以正本为准。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16.2 </w:t>
      </w:r>
      <w:r>
        <w:rPr>
          <w:rFonts w:hint="eastAsia" w:asciiTheme="minorEastAsia" w:hAnsiTheme="minorEastAsia" w:eastAsiaTheme="minorEastAsia"/>
          <w:szCs w:val="21"/>
        </w:rPr>
        <w:t>投标文件正本和所有副本均需打印或用不褪色墨水书写，并由投标人的法定代表人或委托代理人签字并在招标文件中注明须加盖公章的地方加盖公章，如为委托代理人签字的应附“法定代表人授权委托书”，正本必须为原件，但投标人的相关证明文件可采用复印件，采用复印件的，采购代理机构、评标委员会认为需要时，投标人应提供原件供核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16.3 投标文件不应有涂改、增删之处，如必须修改时，修改处必须有投标人法定代表人或</w:t>
      </w:r>
      <w:r>
        <w:rPr>
          <w:rFonts w:hint="eastAsia" w:asciiTheme="minorEastAsia" w:hAnsiTheme="minorEastAsia" w:eastAsiaTheme="minorEastAsia"/>
          <w:szCs w:val="21"/>
        </w:rPr>
        <w:t>委托代理人</w:t>
      </w:r>
      <w:r>
        <w:rPr>
          <w:rFonts w:hint="eastAsia" w:asciiTheme="minorEastAsia" w:hAnsiTheme="minorEastAsia" w:eastAsiaTheme="minorEastAsia"/>
          <w:kern w:val="0"/>
          <w:szCs w:val="21"/>
        </w:rPr>
        <w:t>签字。</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szCs w:val="21"/>
        </w:rPr>
        <w:t>16.4投标文件提倡按照A4幅面打印或复印并进行装订，如有资料超过A4幅面折叠成A4幅面；投标文件装订提倡采用胶装的形式，密封递交。</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16.5 投标人应当在招标文件要求提交投标文件的截止时间前，将投标文件密封送达投标地点。任何单位和个人不得在开标前开启投标文件。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17、有下列情形的投标文件将被拒收：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17.1逾期送达的；</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17.2未按照招标文件要求密封的。</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18、投标文件的修改和撤回</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18.1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18.2 投标截止时间之后，投标文件不得撤回；如撤回，投标保证金（如有）不予退还。</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19、诚实信用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19.1投标人应当遵循公平竞争的原则，不得恶意串通，不得妨碍其他投标人的竞争行为，不得损害采购人或者其他投标人的合法权益。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19.2在评标过程中发现投标人有上述情形的，评标委员会应当认定其投标无效，并书面报告本级财政部门。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五、开标、评标与定标</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20、开标</w:t>
      </w:r>
    </w:p>
    <w:p>
      <w:pPr>
        <w:adjustRightInd w:val="0"/>
        <w:snapToGrid w:val="0"/>
        <w:spacing w:line="360" w:lineRule="auto"/>
        <w:ind w:firstLine="424" w:firstLineChars="202"/>
        <w:rPr>
          <w:rFonts w:ascii="宋体" w:hAnsi="宋体"/>
          <w:bCs/>
          <w:szCs w:val="21"/>
        </w:rPr>
      </w:pPr>
      <w:r>
        <w:rPr>
          <w:rFonts w:hint="eastAsia" w:asciiTheme="minorEastAsia" w:hAnsiTheme="minorEastAsia" w:eastAsiaTheme="minorEastAsia"/>
          <w:kern w:val="0"/>
          <w:szCs w:val="21"/>
        </w:rPr>
        <w:t>20.1 采购代理机构将在招标文件确定的时间和地点进行公开开标。投标人应委派代表准时参加，参加开标的代表须签名报到以证明其出席。</w:t>
      </w:r>
      <w:bookmarkStart w:id="29" w:name="_Hlk44576482"/>
    </w:p>
    <w:bookmarkEnd w:id="29"/>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20.2开标时，应当由投标人或者其推选的代表检查投标文件的密封情况；经确认无误后，由采购人或者采购代理机构工作人员当众拆封，宣布投标人名称、投标价格和招标文件规定的需要宣布的其他内容。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20.3投标人不足</w:t>
      </w:r>
      <w:r>
        <w:rPr>
          <w:rFonts w:asciiTheme="minorEastAsia" w:hAnsiTheme="minorEastAsia" w:eastAsiaTheme="minorEastAsia"/>
          <w:kern w:val="0"/>
          <w:szCs w:val="21"/>
        </w:rPr>
        <w:t>3</w:t>
      </w:r>
      <w:r>
        <w:rPr>
          <w:rFonts w:hint="eastAsia" w:asciiTheme="minorEastAsia" w:hAnsiTheme="minorEastAsia" w:eastAsiaTheme="minorEastAsia"/>
          <w:kern w:val="0"/>
          <w:szCs w:val="21"/>
        </w:rPr>
        <w:t>家的，不得开标。</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20.4开标过程由采购代理机构负责记录，由参加开标的各投标人代表和相关工作人员签字确认后随招标文件一并存档。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0.5</w:t>
      </w:r>
      <w:r>
        <w:rPr>
          <w:rFonts w:hint="eastAsia" w:asciiTheme="minorEastAsia" w:hAnsiTheme="minorEastAsia" w:eastAsiaTheme="minorEastAsia"/>
          <w:szCs w:val="21"/>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6</w:t>
      </w:r>
      <w:r>
        <w:rPr>
          <w:rFonts w:hint="eastAsia" w:asciiTheme="minorEastAsia" w:hAnsiTheme="minorEastAsia" w:eastAsiaTheme="minorEastAsia"/>
          <w:szCs w:val="21"/>
        </w:rPr>
        <w:t>投标人未参加开标的，视同认可开标结果。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7</w:t>
      </w:r>
      <w:r>
        <w:rPr>
          <w:rFonts w:hint="eastAsia" w:asciiTheme="minorEastAsia" w:hAnsiTheme="minorEastAsia" w:eastAsiaTheme="minorEastAsia"/>
          <w:szCs w:val="21"/>
        </w:rPr>
        <w:t>公开招标数额标准以上的采购项目，投标截止后投标人不足3家或者通过资格审查或符合性审查的投标人不足3家的，除采购任务取消情形外，按照以下方式处理：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（1）招标文件存在不合理条款或者采购程序不符合规定的，采购人、采购代理机构改正后依法重新采购；</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szCs w:val="21"/>
        </w:rPr>
        <w:t>（2）招标文件没有不合理条款、采购程序符合规定，需要采用其他采购方式采购的，采购人依法报财政部门批准，</w:t>
      </w:r>
      <w:r>
        <w:rPr>
          <w:rFonts w:hint="eastAsia" w:asciiTheme="minorEastAsia" w:hAnsiTheme="minorEastAsia" w:eastAsiaTheme="minorEastAsia"/>
          <w:kern w:val="0"/>
          <w:szCs w:val="21"/>
        </w:rPr>
        <w:t>经批准后，可变更为其他采购方式采购。本次招标文件中对投标人资格条件要求、技术要求和商务等要求，将作为其他采购方式采购的基本要求和谈判依据。</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21、评标 </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21.1 评标委员会 </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
          <w:bCs/>
          <w:kern w:val="0"/>
          <w:szCs w:val="21"/>
        </w:rPr>
        <w:t>21.1.1</w:t>
      </w:r>
      <w:r>
        <w:rPr>
          <w:rFonts w:hint="eastAsia" w:asciiTheme="minorEastAsia" w:hAnsiTheme="minorEastAsia" w:eastAsiaTheme="minorEastAsia"/>
          <w:bCs/>
          <w:kern w:val="0"/>
          <w:szCs w:val="21"/>
        </w:rPr>
        <w:t>评标委员会负责具体评标事务，并独立履行下列职责：</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（1）审查、评价投标文件是否符合招标文件的商务、技术等实质性要求；</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（2）要求投标人对投标文件有关事项作出澄清或者说明；</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（3）对投标文件进行比较和评价；</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（4）确定中标候选人名单，以及根据采购人委托直接确定中标人；</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Cs/>
          <w:kern w:val="0"/>
          <w:szCs w:val="21"/>
        </w:rPr>
        <w:t>（5）向采购人、采购代理机构或者有关部门报告评标中发现的违法行为。</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21.1.2 </w:t>
      </w:r>
      <w:r>
        <w:rPr>
          <w:rFonts w:hint="eastAsia" w:asciiTheme="minorEastAsia" w:hAnsiTheme="minorEastAsia" w:eastAsiaTheme="minorEastAsia"/>
          <w:kern w:val="0"/>
          <w:szCs w:val="21"/>
        </w:rPr>
        <w:t>评标委员会由采购人代表和有关技术、经济等方面的专家组成，独立开展评审工作。</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21.2  评标程序</w:t>
      </w:r>
    </w:p>
    <w:p>
      <w:pPr>
        <w:tabs>
          <w:tab w:val="left" w:pos="4825"/>
        </w:tabs>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21.2.1投标文件的资格审查</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21.2.1.1采购人或代理机构将依法对投标人的资格进行审查。</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21.2.1.2资格性审查：依据法律法规和招标文件的规定，对投标文件中的资格证明文件等进行审查，以确定投标投标人是否具备投标资格。</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21.2.1.3在进行资格审查的同时，将在“信用中国”网站（www.crditchina.gov.cn）、“中国政府采购网”（www.ccgp.gov.cn）对投标人是否被列入失信被执行人、重大税收违法案件当事人名单、政府采购严重违法失信行为记录名单的情况进行查询，以确定投标投标人是否具备投标资格。</w:t>
      </w:r>
    </w:p>
    <w:p>
      <w:pPr>
        <w:tabs>
          <w:tab w:val="left" w:pos="4825"/>
        </w:tabs>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21.2.1.4投标文件有下列情况之一的，在资格性审查时按照无效投标处理：</w:t>
      </w:r>
    </w:p>
    <w:p>
      <w:pPr>
        <w:numPr>
          <w:ilvl w:val="0"/>
          <w:numId w:val="3"/>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不具备招标文件中规定资格条件的；</w:t>
      </w:r>
    </w:p>
    <w:p>
      <w:pPr>
        <w:numPr>
          <w:ilvl w:val="0"/>
          <w:numId w:val="3"/>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被“信用中国”网站（www.crditchina.gov.cn）、“中国政府采购网”（www.ccgp.gov.cn）列入失信被执行人、重大税收违法案件当事人名单、政府采购严重违法失信行为记录名单的。接收联合体的项目，两个以上的自然人、法人或者其他组织组成的一个联合体，以一个投标人的身份共同参加政府采购活动的，联合体成员存在不良信用记录的，视同联合体存在不良应用记录。</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21.2.2投标文件的符合性检查</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（1）评标委员会将依据法律法规和招标文件的规定，对投标文件的有效性完整性和对招标文件的响应程度进行审查，以确定是否对招标文件的实质性要求作出响应。</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（2）实质性要求是指本招标文件中用带星号（*）、“必须”或“应（应当）”等其他文字说明的商务和技术要求。</w:t>
      </w:r>
    </w:p>
    <w:p>
      <w:pPr>
        <w:tabs>
          <w:tab w:val="left" w:pos="4825"/>
        </w:tabs>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21.2.2.1投标文件属于下列情形之一的，按照无效投标处理：</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如果投标文件实质上没有响应招标文件的要求，评标委员会将予以拒绝，投标人不得通过修改或撤销不合要求的偏离或保留而使其投标成为实质性响应的投标。</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没有按照</w:t>
      </w:r>
      <w:r>
        <w:rPr>
          <w:rFonts w:hint="eastAsia" w:asciiTheme="minorEastAsia" w:hAnsiTheme="minorEastAsia" w:eastAsiaTheme="minorEastAsia"/>
          <w:szCs w:val="21"/>
        </w:rPr>
        <w:t>采购</w:t>
      </w:r>
      <w:r>
        <w:rPr>
          <w:rFonts w:hint="eastAsia" w:cs="宋体" w:asciiTheme="minorEastAsia" w:hAnsiTheme="minorEastAsia" w:eastAsiaTheme="minorEastAsia"/>
          <w:szCs w:val="21"/>
        </w:rPr>
        <w:t>要求密封、签署、盖章的；</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不具备招标文件中规定资格要求的；</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投标总价超出采购项目预算或者最高限价的；</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不同投标人的投标文件由同一单位或者个人编制的；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（5）不同投标人委托同一单位或者个人办理投标事宜；</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（6）不同投标人的投标文件载明的项目管理成员为同一人；</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（7）不同投标人的投标文件异常一致或者投标报价呈规律性差异；</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（8）不同投标人的投标文件相互混装；</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（9）不同投标人的法定代表人或委托代理人有夫妻、直系血亲关系的；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（10）不同投标人的负责人为同一人或者存在控股、管理关系的；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（11）没有逐一说明投标产品品牌、型号、产地、性能参数，而是直接拷贝招标文件技术要求的；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（13）投标文件含有采购人不能接受的附加条件的；</w:t>
      </w:r>
    </w:p>
    <w:p>
      <w:pPr>
        <w:spacing w:line="360" w:lineRule="auto"/>
        <w:ind w:firstLine="420"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szCs w:val="21"/>
        </w:rPr>
        <w:t>（14）不符合法律、法规和招标文件规定的其他实质性要求的。</w:t>
      </w:r>
    </w:p>
    <w:p>
      <w:pPr>
        <w:widowControl/>
        <w:shd w:val="clear" w:color="auto" w:fill="FFFFFF"/>
        <w:spacing w:line="360" w:lineRule="auto"/>
        <w:ind w:firstLine="422" w:firstLineChars="20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21.2.2.2</w:t>
      </w:r>
      <w:r>
        <w:rPr>
          <w:rFonts w:hint="eastAsia" w:cs="宋体" w:asciiTheme="minorEastAsia" w:hAnsiTheme="minorEastAsia" w:eastAsiaTheme="minorEastAsia"/>
          <w:kern w:val="0"/>
          <w:szCs w:val="21"/>
        </w:rPr>
        <w:t>有下列情形之一的予以废标：</w:t>
      </w:r>
    </w:p>
    <w:p>
      <w:pPr>
        <w:widowControl/>
        <w:shd w:val="clear" w:color="auto" w:fill="FFFFFF"/>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（1）符合资格条件的投标人或者对招标文件作实质性响应的投标人不足三家的；</w:t>
      </w:r>
    </w:p>
    <w:p>
      <w:pPr>
        <w:widowControl/>
        <w:shd w:val="clear" w:color="auto" w:fill="FFFFFF"/>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（2）出现影响采购公正的违法、违规行为的；</w:t>
      </w:r>
    </w:p>
    <w:p>
      <w:pPr>
        <w:widowControl/>
        <w:shd w:val="clear" w:color="auto" w:fill="FFFFFF"/>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（3）投标人的报价均超过了采购预算或最高限价，采购人不能支付的；</w:t>
      </w:r>
    </w:p>
    <w:p>
      <w:pPr>
        <w:widowControl/>
        <w:shd w:val="clear" w:color="auto" w:fill="FFFFFF"/>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（4）因重大变故，采购任务取消的。</w:t>
      </w:r>
    </w:p>
    <w:p>
      <w:pPr>
        <w:widowControl/>
        <w:shd w:val="clear" w:color="auto" w:fill="FFFFFF"/>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除予以废标外，出现符合资格性审查的投标人或者对招标文件作出实质性响应的投标人不足三家情形的，可比照</w:t>
      </w:r>
      <w:r>
        <w:rPr>
          <w:rFonts w:hint="eastAsia" w:cs="宋体" w:asciiTheme="minorEastAsia" w:hAnsiTheme="minorEastAsia" w:eastAsiaTheme="minorEastAsia"/>
          <w:b/>
          <w:bCs/>
          <w:kern w:val="0"/>
          <w:szCs w:val="21"/>
        </w:rPr>
        <w:t>20.</w:t>
      </w:r>
      <w:r>
        <w:rPr>
          <w:rFonts w:cs="宋体" w:asciiTheme="minorEastAsia" w:hAnsiTheme="minorEastAsia" w:eastAsiaTheme="minorEastAsia"/>
          <w:b/>
          <w:bCs/>
          <w:kern w:val="0"/>
          <w:szCs w:val="21"/>
        </w:rPr>
        <w:t>7</w:t>
      </w:r>
      <w:r>
        <w:rPr>
          <w:rFonts w:hint="eastAsia" w:cs="宋体" w:asciiTheme="minorEastAsia" w:hAnsiTheme="minorEastAsia" w:eastAsiaTheme="minorEastAsia"/>
          <w:kern w:val="0"/>
          <w:szCs w:val="21"/>
        </w:rPr>
        <w:t>款执行。</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w:t>
      </w:r>
      <w:r>
        <w:rPr>
          <w:rFonts w:hint="eastAsia" w:asciiTheme="minorEastAsia" w:hAnsiTheme="minorEastAsia" w:eastAsiaTheme="minorEastAsia"/>
          <w:b/>
          <w:bCs/>
          <w:kern w:val="0"/>
          <w:szCs w:val="21"/>
        </w:rPr>
        <w:t>澄清有关问题</w:t>
      </w:r>
      <w:r>
        <w:rPr>
          <w:rFonts w:hint="eastAsia" w:asciiTheme="minorEastAsia" w:hAnsiTheme="minorEastAsia" w:eastAsiaTheme="minorEastAsia"/>
          <w:kern w:val="0"/>
          <w:szCs w:val="21"/>
        </w:rPr>
        <w:t>。</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21.2.3.2投标人的澄清、说明或者补正应当采用书面形式，并加盖公章，或者由法定代表人或其委托代理人签字。投标人的澄清、说明或者补正不得超出投标文件的范围或者改变投标文件的实质性内容。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21.2.3.3投标文件报价出现前后不一致的，除招标文件另有规定外，按照下列规定修正：</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（1）投标文件中开标一览表（报价表）内容与投标文件中相应内容不一致的，以开标一览表（报价表）为准；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（2）大写金额和小写金额不一致的，以大写金额为准；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（3）单价金额小数点或者百分比有明显错位的，以开标一览表的总价为准，并修改单价；</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（4）总价金额与按单价汇总金额不一致的，以单价金额计算结果为准。</w:t>
      </w:r>
    </w:p>
    <w:p>
      <w:pPr>
        <w:widowControl/>
        <w:shd w:val="clear" w:color="auto" w:fill="FFFFFF"/>
        <w:spacing w:line="360" w:lineRule="auto"/>
        <w:ind w:firstLine="420"/>
        <w:rPr>
          <w:rFonts w:asciiTheme="minorEastAsia" w:hAnsiTheme="minorEastAsia" w:eastAsiaTheme="minorEastAsia"/>
          <w:b/>
          <w:kern w:val="0"/>
          <w:szCs w:val="21"/>
        </w:rPr>
      </w:pPr>
      <w:r>
        <w:rPr>
          <w:rFonts w:hint="eastAsia" w:asciiTheme="minorEastAsia" w:hAnsiTheme="minorEastAsia" w:eastAsiaTheme="minorEastAsia"/>
          <w:kern w:val="0"/>
          <w:szCs w:val="21"/>
        </w:rPr>
        <w:t>同时出现两种以上不一致的，按照前款规定的顺序修正。</w:t>
      </w:r>
      <w:r>
        <w:rPr>
          <w:rFonts w:hint="eastAsia" w:asciiTheme="minorEastAsia" w:hAnsiTheme="minorEastAsia" w:eastAsiaTheme="minorEastAsia"/>
          <w:b/>
          <w:kern w:val="0"/>
          <w:szCs w:val="21"/>
        </w:rPr>
        <w:t>修正后的报价按照前款规定经投标人确认后产生约束力，投标人不确认的，其投标无效。</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21.2.3.4</w:t>
      </w:r>
      <w:r>
        <w:rPr>
          <w:rFonts w:hint="eastAsia" w:asciiTheme="minorEastAsia" w:hAnsiTheme="minorEastAsia" w:eastAsiaTheme="minorEastAsia"/>
          <w:szCs w:val="21"/>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Theme="minorEastAsia" w:hAnsiTheme="minorEastAsia" w:eastAsiaTheme="minorEastAsia"/>
          <w:b/>
          <w:szCs w:val="21"/>
        </w:rPr>
        <w:t>投标人不能证明其报价合理性的，评标委员会将其作为无效投标处理。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21.2.4</w:t>
      </w:r>
      <w:r>
        <w:rPr>
          <w:rFonts w:hint="eastAsia" w:asciiTheme="minorEastAsia" w:hAnsiTheme="minorEastAsia" w:eastAsiaTheme="minorEastAsia"/>
          <w:b/>
          <w:bCs/>
          <w:kern w:val="0"/>
          <w:szCs w:val="21"/>
        </w:rPr>
        <w:t>比较与评价。</w:t>
      </w:r>
      <w:r>
        <w:rPr>
          <w:rFonts w:hint="eastAsia" w:asciiTheme="minorEastAsia" w:hAnsiTheme="minorEastAsia" w:eastAsiaTheme="minorEastAsia"/>
          <w:kern w:val="0"/>
          <w:szCs w:val="21"/>
        </w:rPr>
        <w:t>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kern w:val="0"/>
          <w:szCs w:val="21"/>
        </w:rPr>
        <w:t>21.2.5</w:t>
      </w:r>
      <w:r>
        <w:rPr>
          <w:rFonts w:hint="eastAsia" w:asciiTheme="minorEastAsia" w:hAnsiTheme="minorEastAsia" w:eastAsiaTheme="minorEastAsia"/>
          <w:szCs w:val="21"/>
        </w:rPr>
        <w:t>相同品牌产品的投标</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使用综合评分法的采购项目，提供相同品牌产品且通过资格审查、符合性审查的不同投标人参加同一合同项下投标的，按一家投标人计算，评审后得分最高的同品牌投标人获得中标投标人推荐资格；评审得分相同的，由采购人委托评标委员会按照招标文件规定的方式确定一个投标人获得中标投标人推荐资格，招标文件未规定的采取随机抽取方式确定，其他同品牌投标人不作为中标候选人。</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21.2.</w:t>
      </w:r>
      <w:r>
        <w:rPr>
          <w:rFonts w:asciiTheme="minorEastAsia" w:hAnsiTheme="minorEastAsia" w:eastAsiaTheme="minorEastAsia"/>
          <w:kern w:val="0"/>
          <w:szCs w:val="21"/>
        </w:rPr>
        <w:t>6</w:t>
      </w:r>
      <w:r>
        <w:rPr>
          <w:rFonts w:hint="eastAsia" w:asciiTheme="minorEastAsia" w:hAnsiTheme="minorEastAsia" w:eastAsiaTheme="minorEastAsia"/>
          <w:kern w:val="0"/>
          <w:szCs w:val="21"/>
        </w:rPr>
        <w:t>招标文件中要求的产品品牌或型号，是采购人根据项目所要实现的功能推荐的品牌或型号，仅供投标人参考，并不是限制条件。</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21.3 评标方法和标准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21.3.1本次</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采用综合评分法，评标方法和标准，详见本招标文件第三章。</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21.3.</w:t>
      </w:r>
      <w:r>
        <w:rPr>
          <w:rFonts w:asciiTheme="minorEastAsia" w:hAnsiTheme="minorEastAsia" w:eastAsiaTheme="minorEastAsia"/>
          <w:kern w:val="0"/>
          <w:szCs w:val="21"/>
        </w:rPr>
        <w:t>2</w:t>
      </w:r>
      <w:r>
        <w:rPr>
          <w:rFonts w:hint="eastAsia" w:asciiTheme="minorEastAsia" w:hAnsiTheme="minorEastAsia" w:eastAsiaTheme="minorEastAsia"/>
          <w:kern w:val="0"/>
          <w:szCs w:val="21"/>
        </w:rPr>
        <w:t>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评标时，评标委员会各成员应当独立对每个投标人的投标文件进行评价，并汇总每个投标人的得分。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评标总得分＝F1×A1＋F2×A2＋……＋Fn×An</w:t>
      </w:r>
      <w:r>
        <w:rPr>
          <w:rFonts w:asciiTheme="minorEastAsia" w:hAnsiTheme="minorEastAsia" w:eastAsiaTheme="minorEastAsia"/>
          <w:kern w:val="0"/>
          <w:szCs w:val="21"/>
        </w:rPr>
        <w:t xml:space="preserve"> </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F1、F2……Fn分别为各项评审因素的得分；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A1、A2、……An 分别为各项评审因素所占的权重(A1＋A2＋……＋An＝1)。</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因落实政府采购政策进行价格调整的，以调整后的价格计算评标基准价和投标报价。</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22、确定中标人</w:t>
      </w: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1</w:t>
      </w:r>
      <w:r>
        <w:rPr>
          <w:rFonts w:hint="eastAsia" w:asciiTheme="minorEastAsia" w:hAnsiTheme="minorEastAsia" w:eastAsiaTheme="minorEastAsia"/>
          <w:color w:val="000000" w:themeColor="text1"/>
          <w:kern w:val="0"/>
          <w:szCs w:val="21"/>
          <w14:textFill>
            <w14:solidFill>
              <w14:schemeClr w14:val="tx1"/>
            </w14:solidFill>
          </w14:textFill>
        </w:rPr>
        <w:t>采用综合评分法的，评标结果按评审后得分由高到低顺序排列。得分相同的，按投标报价由低到高顺序排列。得分且投标报价相同的并列，按技术指标优劣顺序排列。</w:t>
      </w:r>
      <w:bookmarkStart w:id="30" w:name="_Hlk44576646"/>
      <w:r>
        <w:rPr>
          <w:rFonts w:hint="eastAsia" w:asciiTheme="minorEastAsia" w:hAnsiTheme="minorEastAsia" w:eastAsiaTheme="minorEastAsia"/>
          <w:color w:val="000000" w:themeColor="text1"/>
          <w:kern w:val="0"/>
          <w:szCs w:val="21"/>
          <w14:textFill>
            <w14:solidFill>
              <w14:schemeClr w14:val="tx1"/>
            </w14:solidFill>
          </w14:textFill>
        </w:rPr>
        <w:t>投标文件满足招标文件全部实质性要求，且按照评审因素的量化指标，经采购人授权，</w:t>
      </w:r>
      <w:bookmarkEnd w:id="30"/>
      <w:r>
        <w:rPr>
          <w:rFonts w:hint="eastAsia" w:cs="宋体" w:asciiTheme="minorEastAsia" w:hAnsiTheme="minorEastAsia" w:eastAsiaTheme="minorEastAsia"/>
          <w:kern w:val="0"/>
          <w:szCs w:val="21"/>
        </w:rPr>
        <w:t>评标委员会将综合排名第一的投标人确定为中标人。</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2</w:t>
      </w:r>
      <w:r>
        <w:rPr>
          <w:rFonts w:hint="eastAsia" w:asciiTheme="minorEastAsia" w:hAnsiTheme="minorEastAsia" w:eastAsiaTheme="minorEastAsia"/>
          <w:kern w:val="0"/>
          <w:szCs w:val="21"/>
        </w:rPr>
        <w:t>中标人确定后，在原公告媒体上公告中标结果，中标公告期为1个工作日，公告的同时向中标人发出中标通知书。</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3</w:t>
      </w:r>
      <w:r>
        <w:rPr>
          <w:rFonts w:hint="eastAsia" w:asciiTheme="minorEastAsia" w:hAnsiTheme="minorEastAsia" w:eastAsiaTheme="minorEastAsia"/>
          <w:kern w:val="0"/>
          <w:szCs w:val="21"/>
        </w:rPr>
        <w:t xml:space="preserve"> 中标通知书对采购人和中标人具有同等法律效力。</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4</w:t>
      </w:r>
      <w:r>
        <w:rPr>
          <w:rFonts w:hint="eastAsia" w:asciiTheme="minorEastAsia" w:hAnsiTheme="minorEastAsia" w:eastAsiaTheme="minorEastAsia"/>
          <w:kern w:val="0"/>
          <w:szCs w:val="21"/>
        </w:rPr>
        <w:t>中标通知书发出后，采购人或中标人拒绝签订合同的，拒绝签订合同的一方应至少向另一方支付补偿金，以及为采购、投标所发生的有关费用和双方商定的其他补偿。</w:t>
      </w:r>
    </w:p>
    <w:p>
      <w:pPr>
        <w:widowControl/>
        <w:shd w:val="clear" w:color="auto" w:fill="FFFFFF"/>
        <w:spacing w:line="360" w:lineRule="auto"/>
        <w:ind w:firstLine="420"/>
        <w:rPr>
          <w:rFonts w:asciiTheme="minorEastAsia" w:hAnsiTheme="minorEastAsia" w:eastAsiaTheme="minorEastAsia"/>
          <w:b/>
          <w:kern w:val="0"/>
          <w:szCs w:val="21"/>
        </w:rPr>
      </w:pPr>
      <w:r>
        <w:rPr>
          <w:rFonts w:hint="eastAsia" w:asciiTheme="minorEastAsia" w:hAnsiTheme="minorEastAsia" w:eastAsiaTheme="minorEastAsia"/>
          <w:b/>
          <w:kern w:val="0"/>
          <w:szCs w:val="21"/>
        </w:rPr>
        <w:t>22.</w:t>
      </w:r>
      <w:r>
        <w:rPr>
          <w:rFonts w:asciiTheme="minorEastAsia" w:hAnsiTheme="minorEastAsia" w:eastAsiaTheme="minorEastAsia"/>
          <w:b/>
          <w:kern w:val="0"/>
          <w:szCs w:val="21"/>
        </w:rPr>
        <w:t>5</w:t>
      </w:r>
      <w:r>
        <w:rPr>
          <w:rFonts w:hint="eastAsia" w:asciiTheme="minorEastAsia" w:hAnsiTheme="minorEastAsia" w:eastAsiaTheme="minorEastAsia"/>
          <w:b/>
          <w:kern w:val="0"/>
          <w:szCs w:val="21"/>
        </w:rPr>
        <w:t xml:space="preserve"> 中标通知书发出后，中标人无正当理由不与采购人签订合同的，情节严重，由财政部门将其列入不良行为记录名单，在一至三年内禁止参加政府采购活动，并予以通报。</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6</w:t>
      </w:r>
      <w:r>
        <w:rPr>
          <w:rFonts w:hint="eastAsia" w:asciiTheme="minorEastAsia" w:hAnsiTheme="minorEastAsia" w:eastAsiaTheme="minorEastAsia"/>
          <w:kern w:val="0"/>
          <w:szCs w:val="21"/>
        </w:rPr>
        <w:t xml:space="preserve"> 所有投标文件不论中标与否，均不退回。</w:t>
      </w:r>
    </w:p>
    <w:p>
      <w:pPr>
        <w:widowControl/>
        <w:shd w:val="clear" w:color="auto" w:fill="FFFFFF"/>
        <w:spacing w:line="360" w:lineRule="auto"/>
        <w:ind w:firstLine="412"/>
        <w:rPr>
          <w:rFonts w:asciiTheme="minorEastAsia" w:hAnsiTheme="minorEastAsia" w:eastAsiaTheme="minorEastAsia"/>
          <w:kern w:val="0"/>
          <w:szCs w:val="21"/>
        </w:rPr>
      </w:pPr>
      <w:r>
        <w:rPr>
          <w:rFonts w:hint="eastAsia" w:asciiTheme="minorEastAsia" w:hAnsiTheme="minorEastAsia" w:eastAsiaTheme="minorEastAsia"/>
          <w:b/>
          <w:bCs/>
          <w:kern w:val="0"/>
          <w:szCs w:val="21"/>
        </w:rPr>
        <w:t>23、编写评标报告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23.1评标委员会根据全体评标成员签字的原始评标记录和评标结果编写评标报告。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24、评标过程的保密性</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24.1 采购人和采购代理机构将采取必要措施，保证评标在严格保密的情况下进行。</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24.2 任何单位和个人不得非法干预、影响评标办法的确定，以及评标过程和结果。</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24.3 凡是与审查、澄清、评价和比较投标的有关资料等，均不向投标人及与评标无关的其他人员透露。</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六、签订合同</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25、签订合同</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25.1采购人与中标人应当自中标通知书发出之日起</w:t>
      </w:r>
      <w:r>
        <w:rPr>
          <w:rFonts w:asciiTheme="minorEastAsia" w:hAnsiTheme="minorEastAsia" w:eastAsiaTheme="minorEastAsia"/>
          <w:kern w:val="0"/>
          <w:szCs w:val="21"/>
        </w:rPr>
        <w:t>30</w:t>
      </w:r>
      <w:r>
        <w:rPr>
          <w:rFonts w:hint="eastAsia" w:asciiTheme="minorEastAsia" w:hAnsiTheme="minorEastAsia" w:eastAsiaTheme="minorEastAsia"/>
          <w:kern w:val="0"/>
          <w:szCs w:val="21"/>
        </w:rPr>
        <w:t>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25.2采购人不得向中标人提出任何不合理的要求作为签订合同的条件。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25.3</w:t>
      </w:r>
      <w:r>
        <w:rPr>
          <w:rFonts w:asciiTheme="minorEastAsia" w:hAnsiTheme="minorEastAsia" w:eastAsiaTheme="minorEastAsia"/>
          <w:kern w:val="0"/>
          <w:szCs w:val="21"/>
        </w:rPr>
        <w:t>中标人拒绝与采购人签订合同的，采购人可以按照评审报告推荐的中标或者成交候选人名单排序，确定下一候选人为中标人，也可以重新开展政府采购活动。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25.4 </w:t>
      </w:r>
      <w:r>
        <w:rPr>
          <w:rFonts w:asciiTheme="minorEastAsia" w:hAnsiTheme="minorEastAsia" w:eastAsiaTheme="minorEastAsia"/>
          <w:kern w:val="0"/>
          <w:szCs w:val="21"/>
        </w:rPr>
        <w:t>政府采购合同履行中，采购人需追加与合同标的相同的</w:t>
      </w:r>
      <w:r>
        <w:rPr>
          <w:rFonts w:hint="eastAsia" w:asciiTheme="minorEastAsia" w:hAnsiTheme="minorEastAsia" w:eastAsiaTheme="minorEastAsia"/>
          <w:kern w:val="0"/>
          <w:szCs w:val="21"/>
        </w:rPr>
        <w:t>货物</w:t>
      </w:r>
      <w:r>
        <w:rPr>
          <w:rFonts w:asciiTheme="minorEastAsia" w:hAnsiTheme="minorEastAsia" w:eastAsiaTheme="minorEastAsia"/>
          <w:kern w:val="0"/>
          <w:szCs w:val="21"/>
        </w:rPr>
        <w:t>的，在不改变合同其他条款的前提下，可以与投标人协商签订补充合同，但所有补充合同的采购金额不得超过原合同采购金额的百分之十。</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25.5 采购人与中标人应当根据合同的约定依法履行合同义务。</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七、质疑和投诉</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26、质疑</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26.1投标人对</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活动事项有疑问的，可以向采购代理机构提出询问，采购代理机构将依法作出答复，但答复的内容不涉及商业秘密</w:t>
      </w:r>
      <w:r>
        <w:rPr>
          <w:rFonts w:hint="eastAsia" w:asciiTheme="minorEastAsia" w:hAnsiTheme="minorEastAsia" w:eastAsiaTheme="minorEastAsia"/>
          <w:b/>
          <w:bCs/>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26.2</w:t>
      </w:r>
      <w:r>
        <w:rPr>
          <w:rFonts w:asciiTheme="minorEastAsia" w:hAnsiTheme="minorEastAsia" w:eastAsiaTheme="minorEastAsia"/>
          <w:kern w:val="0"/>
          <w:szCs w:val="21"/>
        </w:rPr>
        <w:t>提出质疑的投标人应当是参与所质疑项目采购活动的投标人。潜在投标人已依法获取其可质疑的招标文件的，可以对该文件提出质疑。</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szCs w:val="21"/>
        </w:rPr>
        <w:t>以联合体形式参加政府采购活动的，其质疑应当由组成联合体的所有投标人共同提出。</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26.3投标人认为招标文件、采购过程和中标结果使自己的合法权益受到损害的，可以在知道或者应知其权益受到损害之日起七个工作日内，将质疑文件原件送达采购人或采购代理机构。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投标人应知其权益受到损害之日，是指：对招标文件提出质疑的，应当在获取招标文件或者招标文件公告期限届满之日起7个工作日内提出</w:t>
      </w:r>
      <w:r>
        <w:rPr>
          <w:rFonts w:hint="eastAsia" w:asciiTheme="minorEastAsia" w:hAnsiTheme="minorEastAsia" w:eastAsiaTheme="minorEastAsia"/>
          <w:kern w:val="0"/>
          <w:szCs w:val="21"/>
        </w:rPr>
        <w:t>；</w:t>
      </w:r>
      <w:r>
        <w:rPr>
          <w:rFonts w:asciiTheme="minorEastAsia" w:hAnsiTheme="minorEastAsia" w:eastAsiaTheme="minorEastAsia"/>
          <w:kern w:val="0"/>
          <w:szCs w:val="21"/>
        </w:rPr>
        <w:t>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szCs w:val="21"/>
        </w:rPr>
        <w:t>投标人必须在法定质疑期内一次性提出针对同一采购程序环节的质疑。</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26.4 </w:t>
      </w:r>
      <w:r>
        <w:rPr>
          <w:rFonts w:asciiTheme="minorEastAsia" w:hAnsiTheme="minorEastAsia" w:eastAsiaTheme="minorEastAsia"/>
          <w:kern w:val="0"/>
          <w:szCs w:val="21"/>
        </w:rPr>
        <w:t>投标人提出质疑应当提交质疑函和必要的证明材料。质疑函应当包括下列内容：</w:t>
      </w:r>
    </w:p>
    <w:p>
      <w:pPr>
        <w:widowControl/>
        <w:shd w:val="clear" w:color="auto" w:fill="FFFFFF"/>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　</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1</w:t>
      </w:r>
      <w:r>
        <w:rPr>
          <w:rFonts w:asciiTheme="minorEastAsia" w:hAnsiTheme="minorEastAsia" w:eastAsiaTheme="minorEastAsia"/>
          <w:kern w:val="0"/>
          <w:szCs w:val="21"/>
        </w:rPr>
        <w:t>）投标人的姓名或者名称、地址、邮编、联系人及联系电话；</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2</w:t>
      </w:r>
      <w:r>
        <w:rPr>
          <w:rFonts w:asciiTheme="minorEastAsia" w:hAnsiTheme="minorEastAsia" w:eastAsiaTheme="minorEastAsia"/>
          <w:kern w:val="0"/>
          <w:szCs w:val="21"/>
        </w:rPr>
        <w:t>）质疑项目的名称、编号；</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3</w:t>
      </w:r>
      <w:r>
        <w:rPr>
          <w:rFonts w:asciiTheme="minorEastAsia" w:hAnsiTheme="minorEastAsia" w:eastAsiaTheme="minorEastAsia"/>
          <w:kern w:val="0"/>
          <w:szCs w:val="21"/>
        </w:rPr>
        <w:t>）具体、明确的质疑事项和与质疑事项相关的请求</w:t>
      </w:r>
      <w:r>
        <w:rPr>
          <w:rFonts w:hint="eastAsia" w:asciiTheme="minorEastAsia" w:hAnsiTheme="minorEastAsia" w:eastAsiaTheme="minorEastAsia"/>
          <w:kern w:val="0"/>
          <w:szCs w:val="21"/>
        </w:rPr>
        <w:t>（具体条款）</w:t>
      </w:r>
      <w:r>
        <w:rPr>
          <w:rFonts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4</w:t>
      </w:r>
      <w:r>
        <w:rPr>
          <w:rFonts w:asciiTheme="minorEastAsia" w:hAnsiTheme="minorEastAsia" w:eastAsiaTheme="minorEastAsia"/>
          <w:kern w:val="0"/>
          <w:szCs w:val="21"/>
        </w:rPr>
        <w:t>）事实依据</w:t>
      </w:r>
      <w:r>
        <w:rPr>
          <w:rFonts w:hint="eastAsia" w:asciiTheme="minorEastAsia" w:hAnsiTheme="minorEastAsia" w:eastAsiaTheme="minorEastAsia"/>
          <w:kern w:val="0"/>
          <w:szCs w:val="21"/>
        </w:rPr>
        <w:t>（具体条款）</w:t>
      </w:r>
      <w:r>
        <w:rPr>
          <w:rFonts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5</w:t>
      </w:r>
      <w:r>
        <w:rPr>
          <w:rFonts w:asciiTheme="minorEastAsia" w:hAnsiTheme="minorEastAsia" w:eastAsiaTheme="minorEastAsia"/>
          <w:kern w:val="0"/>
          <w:szCs w:val="21"/>
        </w:rPr>
        <w:t>）必要的法律依据</w:t>
      </w:r>
      <w:r>
        <w:rPr>
          <w:rFonts w:hint="eastAsia" w:asciiTheme="minorEastAsia" w:hAnsiTheme="minorEastAsia" w:eastAsiaTheme="minorEastAsia"/>
          <w:kern w:val="0"/>
          <w:szCs w:val="21"/>
        </w:rPr>
        <w:t>（具体条款）</w:t>
      </w:r>
      <w:r>
        <w:rPr>
          <w:rFonts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6</w:t>
      </w:r>
      <w:r>
        <w:rPr>
          <w:rFonts w:asciiTheme="minorEastAsia" w:hAnsiTheme="minorEastAsia" w:eastAsiaTheme="minorEastAsia"/>
          <w:kern w:val="0"/>
          <w:szCs w:val="21"/>
        </w:rPr>
        <w:t>）提出质疑的日期。</w:t>
      </w:r>
    </w:p>
    <w:p>
      <w:pPr>
        <w:widowControl/>
        <w:shd w:val="clear" w:color="auto" w:fill="FFFFFF"/>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投标人为自然人的，应当由本人签字；投标人为法人或者其他组织的，应当由法定代表人、主要负责人，或者其委托代理人签字或者盖章，并加盖公章。</w:t>
      </w:r>
      <w:r>
        <w:rPr>
          <w:rFonts w:hint="eastAsia" w:asciiTheme="minorEastAsia" w:hAnsiTheme="minorEastAsia" w:eastAsiaTheme="minorEastAsia"/>
          <w:szCs w:val="21"/>
        </w:rPr>
        <w:t>代理人提出质疑和投诉，应当提交投标人签署的授权委托书。</w:t>
      </w:r>
      <w:r>
        <w:rPr>
          <w:rFonts w:asciiTheme="minorEastAsia" w:hAnsiTheme="minorEastAsia" w:eastAsiaTheme="minorEastAsia"/>
          <w:szCs w:val="21"/>
        </w:rPr>
        <w:t>其授权委托书应当载明代理人的姓名或者名称、代理事项、具体权限、期限和相关事项。</w:t>
      </w:r>
    </w:p>
    <w:p>
      <w:pPr>
        <w:widowControl/>
        <w:shd w:val="clear" w:color="auto" w:fill="FFFFFF"/>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26.5质疑函应当现场提交至采购代理机构联系人处，提交时应出示有效身份证明。未按上述要求提交质疑函的，质疑不予受理。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26.6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26.7采购代理机构在收到投标人的书面质疑后将及时组织调查核实，在</w:t>
      </w:r>
      <w:r>
        <w:rPr>
          <w:rFonts w:hint="eastAsia" w:asciiTheme="minorEastAsia" w:hAnsiTheme="minorEastAsia" w:eastAsiaTheme="minorEastAsia"/>
          <w:b/>
          <w:bCs/>
          <w:kern w:val="0"/>
          <w:szCs w:val="21"/>
        </w:rPr>
        <w:t>七个工作日内</w:t>
      </w:r>
      <w:r>
        <w:rPr>
          <w:rFonts w:hint="eastAsia" w:asciiTheme="minorEastAsia" w:hAnsiTheme="minorEastAsia" w:eastAsiaTheme="minorEastAsia"/>
          <w:kern w:val="0"/>
          <w:szCs w:val="21"/>
        </w:rPr>
        <w:t>作出答复，并以书面或在网站公告形式通知质疑投标人和其他有关投标人，答复的内容不涉及商业秘密。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27、投诉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27.1质疑投标人对采购代理机构的答复不满意或者采购代理机构未在规定的时间内作出答复的，可以在答复期满后十五个工作日内向同级政府采购监督管理部门投诉。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27.2投标人投诉应当有明确的请求和必要的证明材料。投标人投诉的事项不得超出已质疑事项的范围。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27.3</w:t>
      </w:r>
      <w:r>
        <w:rPr>
          <w:rFonts w:asciiTheme="minorEastAsia" w:hAnsiTheme="minorEastAsia" w:eastAsiaTheme="minorEastAsia"/>
          <w:szCs w:val="21"/>
        </w:rPr>
        <w:t>投诉人对政府采购监督管理部门的投诉处理决定不服或者政府采购监督管理部门逾期未作处理的，可以依法申请行政复议或者向人民法院提起行政诉讼。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27.4 投诉人有下列行为之一的，属于严重失信行为，由财政部门列入不良行为记录名单，禁止其一至三年内参加政府采购活动。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（1）投诉人在全国范围12个月内三次以上投诉查无实据的；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（2）采用捏造事实、提供虚假材料或者以非法手段取得证明材料等方式进行虚假、恶意投诉。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证据来源的合法性存在明显疑问，投诉人无法证明其取得方式合法的，视为以非法手段取得证明材料。</w:t>
      </w:r>
    </w:p>
    <w:p>
      <w:pPr>
        <w:pStyle w:val="4"/>
        <w:numPr>
          <w:ilvl w:val="0"/>
          <w:numId w:val="0"/>
        </w:numPr>
      </w:pPr>
      <w:r>
        <w:rPr>
          <w:rFonts w:asciiTheme="minorEastAsia" w:hAnsiTheme="minorEastAsia" w:eastAsiaTheme="minorEastAsia"/>
          <w:sz w:val="21"/>
          <w:szCs w:val="21"/>
        </w:rPr>
        <w:br w:type="page"/>
      </w:r>
      <w:bookmarkStart w:id="31" w:name="_Toc67670744"/>
      <w:bookmarkStart w:id="32" w:name="_Toc481057145"/>
      <w:bookmarkStart w:id="33" w:name="_Toc2754"/>
      <w:r>
        <w:rPr>
          <w:rFonts w:hint="eastAsia"/>
        </w:rPr>
        <w:t>第三章 评标标准</w:t>
      </w:r>
      <w:bookmarkEnd w:id="31"/>
    </w:p>
    <w:p>
      <w:pPr>
        <w:spacing w:line="360" w:lineRule="auto"/>
        <w:ind w:firstLine="420" w:firstLineChars="200"/>
        <w:rPr>
          <w:rFonts w:ascii="宋体" w:hAnsi="宋体"/>
          <w:b/>
          <w:color w:val="FF0000"/>
          <w:szCs w:val="21"/>
        </w:rPr>
      </w:pPr>
      <w:r>
        <w:rPr>
          <w:rFonts w:hint="eastAsia" w:asciiTheme="minorEastAsia" w:hAnsiTheme="minorEastAsia" w:eastAsiaTheme="minorEastAsia"/>
          <w:szCs w:val="21"/>
        </w:rPr>
        <w:t>本项目采用综合评分法，评分统计方法将全部评委评分直接进行算术平均，小数点后保留2位。按评审后得分由高到低顺序排列，得分相同的，按投标报价由低到高顺序排列，得分且投标报价相同的，按技术指标优劣顺序排列，由评标委员会确定中标人。</w:t>
      </w:r>
      <w:bookmarkEnd w:id="32"/>
      <w:bookmarkEnd w:id="33"/>
      <w:bookmarkStart w:id="34" w:name="_Hlk44577066"/>
    </w:p>
    <w:bookmarkEnd w:id="34"/>
    <w:tbl>
      <w:tblPr>
        <w:tblStyle w:val="45"/>
        <w:tblW w:w="54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62"/>
        <w:gridCol w:w="660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02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w:t>
            </w:r>
          </w:p>
        </w:tc>
        <w:tc>
          <w:tcPr>
            <w:tcW w:w="326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分项指标</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102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（30分）</w:t>
            </w:r>
          </w:p>
        </w:tc>
        <w:tc>
          <w:tcPr>
            <w:tcW w:w="3263"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采用低价优先法计算，即满足招标文件要求且最低的投标人的价格为评标基准价，其价格分为满分。其他投标人的价格分统一按照下列公式计算：投标报价得分=（评标基准价/投标报价）×30（小数点保留2位）</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102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技术参数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（34分）</w:t>
            </w:r>
          </w:p>
        </w:tc>
        <w:tc>
          <w:tcPr>
            <w:tcW w:w="326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参数响应</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对第四章、第三项货物清单、技术参数要求响应情况进行评分，全部满足技术参数要求的得34分；打▲号指标为重要指标，有一项负偏离扣1分；其他参数，有一项负偏离扣0.5分，扣完为止。严重负偏离影响设备性能的经半数以上评委认定，本项得0分。（设备参数条款中要求的证明材料需按照参数要求提供相应的证明材料复印件并加盖公章，如不提供或不按要求提供或虚假应答则视为无效响应，扣除相应分值）</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bookmarkStart w:id="35" w:name="_Toc14826"/>
            <w:bookmarkStart w:id="36" w:name="_Toc67670745"/>
            <w:r>
              <w:rPr>
                <w:rFonts w:hint="eastAsia" w:ascii="宋体" w:hAnsi="宋体" w:eastAsia="宋体" w:cs="宋体"/>
                <w:b/>
                <w:bCs/>
                <w:sz w:val="21"/>
                <w:szCs w:val="21"/>
                <w:highlight w:val="none"/>
              </w:rPr>
              <w:t>3.1</w:t>
            </w:r>
          </w:p>
        </w:tc>
        <w:tc>
          <w:tcPr>
            <w:tcW w:w="102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（20分）</w:t>
            </w:r>
          </w:p>
        </w:tc>
        <w:tc>
          <w:tcPr>
            <w:tcW w:w="3263" w:type="pct"/>
            <w:vAlign w:val="center"/>
          </w:tcPr>
          <w:p>
            <w:pPr>
              <w:keepNext w:val="0"/>
              <w:keepLines w:val="0"/>
              <w:pageBreakBefore w:val="0"/>
              <w:widowControl w:val="0"/>
              <w:numPr>
                <w:ilvl w:val="255"/>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（1）投标人提供的多媒体讲桌厂家产品通过国家3C强制认证，提供证书复印件加盖投标人公章得2分，未提供不得分；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（2）为保障师生身体健康，所投桌椅、多媒体讲桌等产品所使用的冷轧钢架，符合中华人民共和国国家标准GB 21551.2-2010标准，针对金黄色葡萄球菌AS1.89和大肠埃希氏菌AS1.90，具有抗菌，除菌，净化功能，抗菌材料的特殊要求。24小时试验抗菌率＞99.99%。提供第三方机构出具的封面有“CMA”或“CNAS”标识的检测报告扫描件得2分，未提供不得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w:t>
            </w:r>
            <w:r>
              <w:rPr>
                <w:rFonts w:hint="eastAsia" w:ascii="宋体" w:hAnsi="宋体" w:eastAsia="宋体" w:cs="宋体"/>
                <w:color w:val="000000"/>
                <w:kern w:val="0"/>
                <w:sz w:val="21"/>
                <w:szCs w:val="21"/>
                <w:highlight w:val="none"/>
                <w:lang w:bidi="ar"/>
              </w:rPr>
              <w:t>为保证产品的品质稳定性，要求多媒体讲台及桌椅生产厂家通过质量管理体系认证，提供证书复印件加盖投标人公章得2分，未提供不得分；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bidi="ar"/>
              </w:rPr>
              <w:t>（4）为保障产品的使用安全性，多媒体讲桌厂家所使用的木板：所含铅、镉、汞、六价铬、多溴联苯等符合GB/T26572-2011标准（投标文件中提供第三方有权机构出具的封面有“CMA”或“CNAS”标识的检测报告复印</w:t>
            </w:r>
            <w:r>
              <w:rPr>
                <w:rFonts w:hint="eastAsia" w:ascii="宋体" w:hAnsi="宋体" w:eastAsia="宋体" w:cs="宋体"/>
                <w:color w:val="auto"/>
                <w:sz w:val="21"/>
                <w:szCs w:val="21"/>
                <w:highlight w:val="none"/>
                <w:lang w:bidi="ar"/>
              </w:rPr>
              <w:t>件</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bidi="ar"/>
              </w:rPr>
              <w:t>得2分</w:t>
            </w:r>
            <w:r>
              <w:rPr>
                <w:rFonts w:hint="eastAsia" w:ascii="宋体" w:hAnsi="宋体" w:eastAsia="宋体" w:cs="宋体"/>
                <w:sz w:val="21"/>
                <w:szCs w:val="21"/>
                <w:highlight w:val="none"/>
                <w:lang w:bidi="ar"/>
              </w:rPr>
              <w:t>，未提供不得分。</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3.2</w:t>
            </w:r>
          </w:p>
        </w:tc>
        <w:tc>
          <w:tcPr>
            <w:tcW w:w="102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p>
        </w:tc>
        <w:tc>
          <w:tcPr>
            <w:tcW w:w="326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所投产品LED显示屏制造厂商具有能源管理体系认证，符合GB/T23331-2020/ISO50001:2018标准要求的得</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分，未提供不得分。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所投LED显示屏符合光生物安全检测标准，无视网膜蓝光危害，并提供具有 TUV 标识的低蓝光认证证书复印件加盖投标人公章得</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分，未提供不得分。</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3.3</w:t>
            </w:r>
          </w:p>
        </w:tc>
        <w:tc>
          <w:tcPr>
            <w:tcW w:w="102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p>
        </w:tc>
        <w:tc>
          <w:tcPr>
            <w:tcW w:w="3263"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所投录播一体机应具有无故障运行MTBF不小于15万小时检测报告，满足得2分，不满足不得分。（提供CNAS、CMA机构认可的权威实验室检测报告复印件并加盖投标人公章）</w:t>
            </w:r>
            <w:r>
              <w:rPr>
                <w:rFonts w:hint="eastAsia" w:ascii="宋体" w:hAnsi="宋体" w:eastAsia="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所投高清云台摄像机产品应具有无故障运行MTBF不小于15万小时检测报告，满足得2分，不满足不得分。（提供CNAS、CMA机构认可的权威实验室检测报告复印件并加盖投标人公章）</w:t>
            </w:r>
            <w:r>
              <w:rPr>
                <w:rFonts w:hint="eastAsia" w:ascii="宋体" w:hAnsi="宋体" w:eastAsia="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所投录播一体机、交互平板的生产厂家应具有信息安全管理体系认证资质，证书覆盖范围应包含录播系统、管理平台的研发相关信息安全管理活动（提供复印件加盖投标人公章），满足得2分，不满足不得分。</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4.1</w:t>
            </w:r>
          </w:p>
        </w:tc>
        <w:tc>
          <w:tcPr>
            <w:tcW w:w="102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（16分）</w:t>
            </w:r>
          </w:p>
        </w:tc>
        <w:tc>
          <w:tcPr>
            <w:tcW w:w="3263"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1"/>
                <w:szCs w:val="21"/>
                <w:highlight w:val="none"/>
                <w:lang w:bidi="ar"/>
              </w:rPr>
            </w:pPr>
            <w:r>
              <w:rPr>
                <w:rFonts w:hint="eastAsia" w:ascii="宋体" w:hAnsi="宋体" w:eastAsia="宋体" w:cs="宋体"/>
                <w:b/>
                <w:bCs/>
                <w:color w:val="000000"/>
                <w:kern w:val="0"/>
                <w:sz w:val="21"/>
                <w:szCs w:val="21"/>
                <w:highlight w:val="none"/>
                <w:lang w:bidi="ar"/>
              </w:rPr>
              <w:t>根据投标人实施方案（含实施进度计划网络图或横道图）、施工程序、关键施工技术、项目实施重点、难点解决方案、安全责任制度、施工安全措施、现场应急救援预案、文明施工措施、污染物处理和排放措施进行打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方案内容完整、详实可行，关键点分析准确、针对性强且有不同于其他投标人特色举措的得6分；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方案齐全、具有实际可操作性的得4分；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方案有欠缺、条理不清晰的得2分；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sz w:val="21"/>
                <w:szCs w:val="21"/>
                <w:highlight w:val="none"/>
              </w:rPr>
              <w:t>方案可操作性低、不能满足采购需求或未提供方案的不得分。</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4.2</w:t>
            </w:r>
          </w:p>
        </w:tc>
        <w:tc>
          <w:tcPr>
            <w:tcW w:w="102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p>
        </w:tc>
        <w:tc>
          <w:tcPr>
            <w:tcW w:w="3263" w:type="pct"/>
            <w:vAlign w:val="center"/>
          </w:tcPr>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根据投标人服务能力，包括响应时间（上门时间、维修时间）、售后服务计划、售后服务程序、售后施工人员配置、售后服务实施集成方案等进行评分。</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方案内容完整、详实可行，关键点分析准确、针对性强且有不同于其他投标人特色举措的得6分；</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方案齐全、具有实际可操作性的得4分；</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方案有欠缺、条理不清晰的得2分；</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方案可操作性低、不能满足采购需求或未提供方案的不得分。</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4.3</w:t>
            </w:r>
          </w:p>
        </w:tc>
        <w:tc>
          <w:tcPr>
            <w:tcW w:w="102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p>
        </w:tc>
        <w:tc>
          <w:tcPr>
            <w:tcW w:w="3263"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根据投标人对项目的理解响应，针对本项目所有的实验室设备相关技术参数及尺寸，编制本项目所涉及到的实验室的设备平面布局图、效果图，根据投标人所编制的设计方案进行评分。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方案内容完整、详实可行，关键点分析准确、针对性强且有不同于其他投标人特色举措的得4分；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方案齐全、具有实际可操作性的得2分；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方案可操作性低、不能满足采购需求或未提供方案的不得分。</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4284"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b/>
                <w:bCs/>
                <w:color w:val="000000"/>
                <w:kern w:val="0"/>
                <w:sz w:val="21"/>
                <w:szCs w:val="21"/>
                <w:highlight w:val="none"/>
                <w:lang w:bidi="ar"/>
              </w:rPr>
              <w:t>合计</w:t>
            </w:r>
          </w:p>
        </w:tc>
        <w:tc>
          <w:tcPr>
            <w:tcW w:w="34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w:t>
            </w:r>
          </w:p>
        </w:tc>
      </w:tr>
    </w:tbl>
    <w:p>
      <w:pPr>
        <w:widowControl/>
        <w:spacing w:line="360" w:lineRule="auto"/>
        <w:ind w:firstLine="422" w:firstLineChars="200"/>
        <w:jc w:val="left"/>
        <w:rPr>
          <w:rFonts w:ascii="宋体" w:cs="宋体"/>
          <w:b/>
          <w:u w:val="single"/>
        </w:rPr>
      </w:pPr>
      <w:r>
        <w:rPr>
          <w:rFonts w:hint="eastAsia" w:ascii="宋体" w:cs="宋体"/>
          <w:b/>
          <w:u w:val="single"/>
        </w:rPr>
        <w:t>说明：</w:t>
      </w:r>
    </w:p>
    <w:p>
      <w:pPr>
        <w:widowControl/>
        <w:spacing w:line="360" w:lineRule="auto"/>
        <w:ind w:firstLine="422" w:firstLineChars="200"/>
        <w:jc w:val="left"/>
        <w:rPr>
          <w:rFonts w:ascii="宋体" w:cs="宋体"/>
          <w:b/>
          <w:u w:val="single"/>
        </w:rPr>
      </w:pPr>
      <w:r>
        <w:rPr>
          <w:rFonts w:ascii="宋体" w:cs="宋体"/>
          <w:b/>
          <w:bCs/>
          <w:kern w:val="0"/>
          <w:szCs w:val="21"/>
          <w:u w:val="single"/>
        </w:rPr>
        <w:t>1</w:t>
      </w:r>
      <w:r>
        <w:rPr>
          <w:rFonts w:hint="eastAsia" w:ascii="宋体" w:cs="宋体"/>
          <w:b/>
          <w:bCs/>
          <w:kern w:val="0"/>
          <w:szCs w:val="21"/>
          <w:u w:val="single"/>
        </w:rPr>
        <w:t>.投标人须逐条响应上述所有评审细则，并在投标文件中提供有效证明材料及列明索引、页码。</w:t>
      </w:r>
    </w:p>
    <w:p>
      <w:pPr>
        <w:widowControl/>
        <w:spacing w:line="360" w:lineRule="auto"/>
        <w:ind w:firstLine="422" w:firstLineChars="200"/>
        <w:jc w:val="left"/>
        <w:rPr>
          <w:rFonts w:ascii="宋体" w:cs="宋体"/>
          <w:b/>
          <w:kern w:val="0"/>
          <w:szCs w:val="21"/>
          <w:u w:val="single"/>
        </w:rPr>
      </w:pPr>
      <w:r>
        <w:rPr>
          <w:rFonts w:ascii="宋体" w:cs="宋体"/>
          <w:b/>
          <w:kern w:val="0"/>
          <w:szCs w:val="21"/>
          <w:u w:val="single"/>
        </w:rPr>
        <w:t>2</w:t>
      </w:r>
      <w:r>
        <w:rPr>
          <w:rFonts w:hint="eastAsia" w:ascii="宋体" w:cs="宋体"/>
          <w:b/>
          <w:kern w:val="0"/>
          <w:szCs w:val="21"/>
          <w:u w:val="single"/>
        </w:rPr>
        <w:t>.所有认证、证明和业绩均以有效的证明文件的复印件为依据，原件备查。</w:t>
      </w:r>
    </w:p>
    <w:p>
      <w:pPr>
        <w:ind w:firstLine="420" w:firstLineChars="200"/>
      </w:pPr>
    </w:p>
    <w:p>
      <w:pPr>
        <w:pStyle w:val="2"/>
      </w:pPr>
    </w:p>
    <w:p>
      <w:pPr>
        <w:widowControl/>
        <w:jc w:val="left"/>
        <w:rPr>
          <w:b/>
          <w:bCs/>
          <w:kern w:val="44"/>
          <w:sz w:val="32"/>
          <w:szCs w:val="44"/>
        </w:rPr>
      </w:pPr>
      <w:r>
        <w:br w:type="page"/>
      </w:r>
    </w:p>
    <w:p>
      <w:pPr>
        <w:pStyle w:val="4"/>
        <w:numPr>
          <w:ilvl w:val="0"/>
          <w:numId w:val="0"/>
        </w:numPr>
        <w:ind w:left="567"/>
        <w:rPr>
          <w:szCs w:val="32"/>
        </w:rPr>
      </w:pPr>
      <w:r>
        <w:rPr>
          <w:rFonts w:hint="eastAsia"/>
        </w:rPr>
        <w:t xml:space="preserve">第四章 </w:t>
      </w:r>
      <w:bookmarkEnd w:id="35"/>
      <w:bookmarkStart w:id="37" w:name="_Toc8808"/>
      <w:bookmarkStart w:id="38" w:name="_Toc481057147"/>
      <w:r>
        <w:rPr>
          <w:rFonts w:hint="eastAsia"/>
        </w:rPr>
        <w:t>采购项目的内容和相关技术要求等</w:t>
      </w:r>
      <w:bookmarkEnd w:id="36"/>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 xml:space="preserve">一、项目名称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南京旅游职业学院融合现实数字文旅实训室设备采购项目</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二、采购内容</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南京旅游职业学院本次拟采购投影机、透明膜、4K录播一体机、高清云台摄像机、数字音频矩阵、图像跟踪一体机、桌面式触摸面板、时序电源控制器、资源管理平台、高清摄像机、虚拟微课主机、返送信号处理器、双电机嵌入式数字遥控电动翻转LED智控灯、P2.0LED显示屏、3D立体眼镜、多媒体讲台、8寸多功能音箱、65寸智能交互平板、86寸智能交互平板、梯形桌、笔记本充电柜等。</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w:t>
      </w:r>
      <w:r>
        <w:rPr>
          <w:rFonts w:hint="eastAsia" w:ascii="宋体" w:hAnsi="宋体" w:cs="宋体"/>
          <w:b/>
          <w:bCs/>
          <w:sz w:val="22"/>
        </w:rPr>
        <w:t>货物清单、技术参数要求</w:t>
      </w:r>
    </w:p>
    <w:tbl>
      <w:tblPr>
        <w:tblStyle w:val="45"/>
        <w:tblW w:w="9365" w:type="dxa"/>
        <w:jc w:val="center"/>
        <w:tblLayout w:type="fixed"/>
        <w:tblCellMar>
          <w:top w:w="0" w:type="dxa"/>
          <w:left w:w="108" w:type="dxa"/>
          <w:bottom w:w="0" w:type="dxa"/>
          <w:right w:w="108" w:type="dxa"/>
        </w:tblCellMar>
      </w:tblPr>
      <w:tblGrid>
        <w:gridCol w:w="1113"/>
        <w:gridCol w:w="1459"/>
        <w:gridCol w:w="5300"/>
        <w:gridCol w:w="765"/>
        <w:gridCol w:w="728"/>
      </w:tblGrid>
      <w:tr>
        <w:tblPrEx>
          <w:tblCellMar>
            <w:top w:w="0" w:type="dxa"/>
            <w:left w:w="108" w:type="dxa"/>
            <w:bottom w:w="0" w:type="dxa"/>
            <w:right w:w="108" w:type="dxa"/>
          </w:tblCellMar>
        </w:tblPrEx>
        <w:trPr>
          <w:trHeight w:val="647" w:hRule="atLeast"/>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产品名称</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投影机</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1.采用新型MCL复合式激光光源，色域更广，画质细腻，分辨率≥1920*1200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2.显示技术采用Liquid Crystal Display显示技术，显示面板尺寸3X0.64英寸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3.镜头投射比至少涵盖1.22~1.98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4.支持镜头位移，镜头位移范围至少涵盖：V:＋60%～0%、 H:±29%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5.亮度≥6500流明，对比度≥5000000:1；寿命≥20000小时；支持7*24小时不间断运行；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6.在投影菜单中可以对画面进行4角调整、6角调整、11*17点格点拉伸以及水平和垂直梯形矫正等功能，更便于投影机画面调节；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7.投影机支持2x360度灵活投影，且吊装时会自动旋转画面至正常观影角度。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8.菜单中可调节画面模式为DICOM图像模式以及黑板模式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9.采用内循环密闭散热系统，高效冷却和低噪音优势并存；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10.可通过智能手机或平板电脑控制投影机机运行状态、支持Crestron、PJlink等网络控制投影机;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11.在菜单中可以调节画面比例为16:9，16:10，4：3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12.输入接口具备：VGA*1，HDMI 1.4B(IN) *2，USB-A*1，USB-B*1（Display），RJ45*1（Display），Audio in（mini jack,3.5mm）*1，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13.输出接口具备：VGA*1，Audio out（mini-jack,3.5mm）*1，RS232*1，RJ45*1 (Control)，USB-B*1 (For upgrade)</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14.支持红外控制、支持RS232串口控制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15.机身尺寸的宽深高均≤405*358*136mm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16.机身重量≤7.7kg；</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透明膜</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显示尺寸：1.5米*2.5米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PDLC调光膜透光率ON ≧82% 、OFF≤ 65%，雾度 ON ≦4%、OFF≧ 92%，红外线阻隔系数 ON 15.6%、OFF 36.5%,紫外线阻隔系数ON 46.2%、OFF 97.9%，响应时间&lt;10ms，功耗5W左右，产品额定电压45V，电源输入电压110V/220V，可视角度140°。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3.75</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平方米</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吊架</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吊架类型：工程吊架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承重：30公斤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规格类型：1米、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吊装方式：吊装正投、吊装背投、地投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内管规格：38mm直径，1.2mm厚度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外管规格：42mm直径，1.2mm厚度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处理工艺：酸洗、电泳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颜色：黑色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材质：冷轧钢板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特点：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1、360°旋转结构设计，调节更加方便精准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2、管内走线，美观大方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3、吊架内外壁酸洗磷化、表面电泳处理，不易划伤、生锈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4、吊杆加密打孔，可自由调节长度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互动系统</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互动软件+硬件采集设备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互动地面IP网络摄像头单通道支持WIN7/10/11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互动引擎加密狗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红外感应器*1</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4K录播一体机</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spacing w:line="360" w:lineRule="auto"/>
              <w:jc w:val="left"/>
              <w:textAlignment w:val="center"/>
            </w:pPr>
            <w:r>
              <w:rPr>
                <w:rFonts w:hint="eastAsia"/>
              </w:rPr>
              <w:t>主机架构：要求录播主机采用嵌入式一体化DSP纯硬件设计架构，静音空气流散热设计，支持7*24小时工作。</w:t>
            </w:r>
            <w:r>
              <w:rPr>
                <w:rFonts w:hint="eastAsia"/>
              </w:rPr>
              <w:br w:type="textWrapping"/>
            </w:r>
            <w:r>
              <w:rPr>
                <w:rFonts w:hint="eastAsia"/>
              </w:rPr>
              <w:t>2.整体设计：要求内置嵌入式Linux操作系统，满足录制、直播、点播、互动、导播管理、存储、切换、视音频编码等功能，支持远程互动教学，实现远程网络互动课堂。</w:t>
            </w:r>
            <w:r>
              <w:rPr>
                <w:rFonts w:hint="eastAsia"/>
              </w:rPr>
              <w:br w:type="textWrapping"/>
            </w:r>
            <w:r>
              <w:rPr>
                <w:rFonts w:hint="eastAsia"/>
              </w:rPr>
              <w:t>▲3.视频输入接口：要求支持≥8路本地高清信号采集接口，至少包括4路SDI、2路HDMI、1路VGA、1路YPBPR。(投标时须提供具有CNAS标识的检测报告复印件并加盖</w:t>
            </w:r>
            <w:r>
              <w:rPr>
                <w:rFonts w:hint="eastAsia"/>
                <w:lang w:val="en-US" w:eastAsia="zh-CN"/>
              </w:rPr>
              <w:t>投标人</w:t>
            </w:r>
            <w:r>
              <w:rPr>
                <w:rFonts w:hint="eastAsia"/>
              </w:rPr>
              <w:t>公章)</w:t>
            </w:r>
            <w:r>
              <w:rPr>
                <w:rFonts w:hint="eastAsia"/>
              </w:rPr>
              <w:br w:type="textWrapping"/>
            </w:r>
            <w:r>
              <w:rPr>
                <w:rFonts w:hint="eastAsia"/>
              </w:rPr>
              <w:t>4.视频输出接口：要求支持≥3路本地视频输出接口，接口类型为≥2路HDMI高清数字接口（支持4K合成HDMI输出），≥1路VGA接口。</w:t>
            </w:r>
            <w:r>
              <w:rPr>
                <w:rFonts w:hint="eastAsia"/>
              </w:rPr>
              <w:br w:type="textWrapping"/>
            </w:r>
            <w:r>
              <w:rPr>
                <w:rFonts w:hint="eastAsia"/>
              </w:rPr>
              <w:t>5.音频接口：为保证教室内音频采集，支持≥4路本地音频信号采集接口，接口分别为≥2路吊麦,≥3路立体声音频输入接口，其中≥2路吊麦支持48V供电，支持≥4路立体声音频输出接口，其中≥1路为3.5mm本地耳机监听接口。</w:t>
            </w:r>
            <w:r>
              <w:rPr>
                <w:rFonts w:hint="eastAsia"/>
              </w:rPr>
              <w:br w:type="textWrapping"/>
            </w:r>
            <w:r>
              <w:rPr>
                <w:rFonts w:hint="eastAsia"/>
              </w:rPr>
              <w:t>6.要求支持≥9路RJ45接口，其中≥1路100/1000Mbps自适应LAN接口，≥8路控制接口（兼容RS232、RS422控制协议）。</w:t>
            </w:r>
            <w:r>
              <w:rPr>
                <w:rFonts w:hint="eastAsia"/>
              </w:rPr>
              <w:br w:type="textWrapping"/>
            </w:r>
            <w:r>
              <w:rPr>
                <w:rFonts w:hint="eastAsia"/>
              </w:rPr>
              <w:t>7.要求具备≥4路USB接口，支持连接鼠标、键盘进行导播控制以及主机连接U盘进行课程视频的录制、下载，其中至少支持2路USB 2.0和2路USB3.0接口。</w:t>
            </w:r>
            <w:r>
              <w:rPr>
                <w:rFonts w:hint="eastAsia"/>
              </w:rPr>
              <w:br w:type="textWrapping"/>
            </w:r>
            <w:r>
              <w:rPr>
                <w:rFonts w:hint="eastAsia"/>
              </w:rPr>
              <w:t>8.要求主机前面板配置≥2英寸液晶显示屏和≥6个操作按键，便于进行基本参数的快速设置并及时了解设备的工作状态。</w:t>
            </w:r>
            <w:r>
              <w:rPr>
                <w:rFonts w:hint="eastAsia"/>
              </w:rPr>
              <w:br w:type="textWrapping"/>
            </w:r>
            <w:r>
              <w:rPr>
                <w:rFonts w:hint="eastAsia"/>
              </w:rPr>
              <w:t>9．要求主机采用≤24V供电。</w:t>
            </w:r>
            <w:r>
              <w:rPr>
                <w:rFonts w:hint="eastAsia"/>
              </w:rPr>
              <w:br w:type="textWrapping"/>
            </w:r>
            <w:r>
              <w:rPr>
                <w:rFonts w:hint="eastAsia"/>
              </w:rPr>
              <w:t>10.存储容量：要求配置≥2T硬盘。</w:t>
            </w:r>
            <w:r>
              <w:rPr>
                <w:rFonts w:hint="eastAsia"/>
              </w:rPr>
              <w:br w:type="textWrapping"/>
            </w:r>
            <w:r>
              <w:rPr>
                <w:rFonts w:hint="eastAsia"/>
              </w:rPr>
              <w:t>11.视频接入：要求支持≥4路SDI接口均支持POC供电及信号检测指示灯，支持自动检测到POC摄像机后指示灯亮。</w:t>
            </w:r>
            <w:r>
              <w:rPr>
                <w:rFonts w:hint="eastAsia"/>
              </w:rPr>
              <w:br w:type="textWrapping"/>
            </w:r>
            <w:r>
              <w:rPr>
                <w:rFonts w:hint="eastAsia"/>
              </w:rPr>
              <w:t>12.协议支持：要求支持TCP/UDP/HTTP/RTMP/RTSP视频传输协议，支持FTP文件传输协议，支持VISCA云台控制协议。支持RTSP/SIP等多协议互动。</w:t>
            </w:r>
            <w:r>
              <w:rPr>
                <w:rFonts w:hint="eastAsia"/>
              </w:rPr>
              <w:br w:type="textWrapping"/>
            </w:r>
            <w:r>
              <w:rPr>
                <w:rFonts w:hint="eastAsia"/>
              </w:rPr>
              <w:t>▲13.整机采用耐腐蚀技术处理，通过符合标准GB/T2423.17-2008中的条件和方法下进行盐雾试验，试验时间不少于72小时，产品外观、各金属件都应无锈蚀痕迹，保证产品的耐腐抗老化性能。(投标时须提供具有CNAS标识的检测报告复印件并加盖投标人</w:t>
            </w:r>
            <w:r>
              <w:rPr>
                <w:lang w:bidi="ar"/>
              </w:rPr>
              <w:t>公章</w:t>
            </w:r>
            <w:r>
              <w:rPr>
                <w:rFonts w:hint="eastAsia"/>
              </w:rPr>
              <w:t>)</w:t>
            </w:r>
            <w:r>
              <w:rPr>
                <w:rFonts w:hint="eastAsia"/>
              </w:rPr>
              <w:br w:type="textWrapping"/>
            </w:r>
            <w:r>
              <w:rPr>
                <w:rFonts w:hint="eastAsia"/>
              </w:rPr>
              <w:t>▲14.设备采用耐高低温技术处理，通过根据GB/T 2423.1-2008和GB/T 2423.2-2008标准条件和方法下，承受低温-30℃～高温40℃环境，试验时间不少于72小时，设备无异常，确保产品使用的持久性和耐高低温性能。(投标时须提供具有CNAS标识的检测报告复印件并加盖投标人</w:t>
            </w:r>
            <w:r>
              <w:rPr>
                <w:lang w:bidi="ar"/>
              </w:rPr>
              <w:t>公章</w:t>
            </w:r>
            <w:r>
              <w:rPr>
                <w:rFonts w:hint="eastAsia"/>
              </w:rPr>
              <w:t>)</w:t>
            </w:r>
            <w:r>
              <w:rPr>
                <w:rFonts w:hint="eastAsia"/>
              </w:rPr>
              <w:br w:type="textWrapping"/>
            </w:r>
            <w:r>
              <w:rPr>
                <w:rFonts w:hint="eastAsia"/>
              </w:rPr>
              <w:t>15.为避免运输过程中出现碰撞导致设备损坏或内部松动，要求产品通过GB/T 2423.5-2019冲击实验，试验后设备无松动，电气功能不受到有害影响。</w:t>
            </w:r>
          </w:p>
          <w:p>
            <w:pPr>
              <w:pStyle w:val="2"/>
              <w:numPr>
                <w:ilvl w:val="255"/>
                <w:numId w:val="0"/>
              </w:num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嵌入式录播系统</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一、录播系统模块：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1.要求支持B/S架构设计，能够方便教师使用IE、360等主流浏览器通过网络直接访问录播主机进行导播和管理。主界面可以显示录制信息，包括录制时间、视频信息、地址及硬盘容量等。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2.为保证教室内教学场景拍摄录制及教学相关设备信号接入，要求具备6路信号的加载预监功能，能根据课堂教学进程，对教师、学生、VGA等画面进行智能切换。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3.视频采集：要求支持高清摄像机信号接入进行画面采集和编码录制，要求支持多路信号以资源模式与导播后的电影模式同时录制，支持对视频文件进行点播回放以及拖拽播放进度条播放。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视频编码：要求支持H.264/H.265视频编码，录制视频格式支持MP4,支持自定义录制分辨率、帧率和码流，视频编码码流应支持32Kbps至16Mbps可设，视频编码码流支持≥19档调节。(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5.音频编码：要求支持AAC音频编码，音频采样率应支持8KHz、16KHz、32KHz、48KHz等。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6.直播推送：支持自定义直播分辨率和码率，以适应不同网络环境下保持直播的流畅性。支持RTMP和RTSP视频传输协议，支持对接资源管理平台/第三方平台实现实时直播、录制视频文件自动上传等功能。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7.视频修复：支持硬盘格式化功能，支持对设备异常断电、宕机造成的视频文件损坏进行自动修复。支持恢复出厂设置，能够实时初始化系统状态。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8.分段录制：支持录制单个文件和限时自动分割录制功能，支持自定义限时自动分割时长。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9.支持配合图像识别设备实现人脸识别功能。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二、智能导播系统模块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1.要求支持网络导播与本地导播导播方式。无需安装任何插件即可兼容IE、火狐、搜狗等主流浏览器，本地导播支持直接外接显示器进行操作。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2.要求支持手动、自动导播的无缝切换，既支持手动录制，又支持录播系统与全自动跟踪系统的无缝对接。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▲4.导播管理：要求支持多种画面布局设置，本地导播界面下可直接通过鼠标拖动通道画面即可实现多分屏布局显示画面的替换。(投标时须提供具有CNAS标识的检测报告复印件并加盖投标人公章)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5.提供双分屏、三分屏、四分屏以及自定义画面布局，支持多个视频图层自由叠加组合。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6.要求支持渐变、淡入淡出、开门、关门、睁眼、闭眼、划像等≥12路切换特效。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7.摄像机控制：要求每个云台摄像机支持≥8个预置位设置与调用功能，支持在画面调整完成之后手动点击鼠标拖动画面到预置位数字按钮处实现预置位保存。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▲8.要求本地导播系统界面可以提供虚拟软键盘，无需外接键盘即可进行中英文输入。(投标时须提供具有CNAS标识的检测报告复印件并加盖投标人公章)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9.要求支持设置≥8条预设字幕，本地导播界面下支持通过鼠标拖拽设置字幕显示位置。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10.要求支持自定义台标显示位置，本地导播界面下支持通过鼠标拖拽设置台标显示位置。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三、互动系统模块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1.互动：内置互动系统支持多点互动功能，听讲端画面可以按照固定的时间在主讲端实时轮询显示。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2.支持互动列表，列表中可以显示所有与会者的信息；支持互动画面布局的显示，布局支持单分屏，双分屏，三分屏，四分屏显示。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互动主界面可显示当前互动房间的房间号、课程名称、主讲人、课程模式等信息。互动房间界面，具有互动时间显示、音量大小显示、双流、静音、视频轮播、全屏。(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4.通话带宽设置功能：可根据网络情况选择多种分辨率及码流进行互动。设备支持SIP协议，可直接向SIP服务器进行注册，并具有NAT穿透功能。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5.授课模式：授课模式需贴近实际同步课堂教学场景，听课端观看的互动画面有主讲端控制。要求支持将主讲老师和课件信号双分屏或画中画模式共享给听课端观看。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6.要求支持会议互动模式和双师互动模式，会议模式时，主讲端和听讲端都可以看到所有与会者画面；双师模式时，主讲端能看到所有与会者画面，听讲端只能看到主讲端画面。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7.互动网络管理：网络层具有高效的丢包重传机制，先进的nack算法，实现快速选择性补包，实现音视频抗丢包率30%以上。双向互动过程中，在低带宽下可实现1080P画质。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互动创建：要求支持手机号完成互动账号的注册、密码修改，要求支持“一键式”创建互动房间，支持通过会议房间目录或房间号直接加入已创建的互动房间，支持房间加密。(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9.互动目录管理：要求支持查询互动云系统的目录数据，查询内容包括所有已在互动云系统注册的房间账号、房间名称，支持筛选查询，支持通过房间账号、名称快速实现互动。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10.授课预监：授课过程中，录播主机屏幕将实时显示授课教室和参与互动的听课教室画面，用户可实时查看授课教室的拍摄效果及互动教室的听课状态。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课堂互动：授课过程中，老师只需在录播主机上单击听课教室画面，即可放大该教室画面，并与该教室实时连麦对讲，要求支持主讲端在互动过程中对其余互动参与者的发言权限进行控制，支持单人禁言/开启以及全场禁言/开启的控制方式。</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7</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高清云台摄像机</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1.图像传感器：不小于1/2.8英寸 逐行扫描CMOS, ≥207万像素。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2.焦距：不低于f=4～88mm；光圈：不低于F1～F2；光学变焦：≥20倍；数字变焦：≥12倍。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3.视场角：不低于59°～3°。水平范围：不低于-170°~+170°；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云台转动垂直范围：不低于-30°～+90°；水平转动速度：不低于1°～100°/秒；垂直转动速度：不低于1°～69°/秒。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4.聚焦系统：需支持自动、手动、一键触发、PTZ触发。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5.快门速度：不低于1/1-1/10,000秒。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6.增益：需支持自动/手动。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7.白平衡：需支持自动、室内、室外、一键触发、手动、自动跟踪、钠灯、日光灯模式。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8.曝光控制：需支持自动、手动、快门优先、光圈优先、智能。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9.信噪比：≥50dB。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10.数字降噪：需支持2D/3D。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11.需支持背光补偿、宽动态。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12.预置点数目：≥255个。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13.SDI输出：视频格式不少于1080P60、1080I60、1080P30、720P60、1080P50、1080I50、1080P25、720P50。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14.网络：分辨率最高需支持1920×1080@60fps或以上；视频压缩需支持H.265、H.264；音频压缩需支持AAC；网络协议需支持HTTP、TCP、UDP、RTSP、RTMP、ONVIF。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15.需支持双码流。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16.接口：视频输出≥1路3G-SDI接口，≥1路HDMI接口；音频接口 LINE IN/ OUT；网络接口：≥1路10M/100M自适应以太网接口；≥1路USB接口。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17．在监视或录像状态下，监视画面无明显缺损，物体移动时画面边缘无明显锯齿、拉毛现象。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18.集合定点看全景、动点看细节的优势，达到既能看全又能看清的效果，适用于教室学生人脸点名及学生行为分析。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19.控制接口：RS-232 IN，RS-232  OUT/RS-485。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20.电源：≤DC12V，功耗：≤20W。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21.要求产品采用耐腐蚀技术处理，检测时间不小于48小时，产品外观、各金属件都应无锈蚀痕迹。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▲22.为确保产品耐高低温性能，能承受低温-10℃～高温40℃环境下工作，需有CNAS机构认可的权威实验室出具的检测报告为佐证，检测时间不小于8小时。</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8</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高清云台摄像机</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1.图像传感器：不小于1/2.8英寸 逐行扫描CMOS,≥207万像素。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2.焦距：不低于f=3mm～46mm；光圈：不低于F1 ～ F2；光学变焦：≥12倍；数字变焦：≥12倍。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3.视场角：不低于72°～6°，水平范围：不低于-170°～+170°；垂直范围：不低于-30°～+90°；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4.聚焦系统：支持自动、手动、一键触发、PTZ触发。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5.快门速度：1/1-1/10,000秒。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6.增益：支持自动/手动。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7.白平衡：支持自动、室内、室外、一键触发、手动、自动跟踪、钠灯、日光灯模式。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8.曝光控制：支持自动、手动、快门优先、光圈优先、智能。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9.信噪比：50dB。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10.数字降噪：支持2D/3D。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11.支持背光补偿、宽动态。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12.预置点数目：≥255个。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13.SDI输出：视频格式1080P60、1080I60、1080P30、720P60、1080P50、1080I50、1080P25、720P50。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14.网络协议支持HTTP、TCP、UDP、RTSP、RTMP、ONVIF。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15.支持双码流。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16.接口：视频输出≥1路3G-SDI接口，≥1路HDMI接口；音频接口 LINE IN/ OUT；网络接口：≥1路10M/100M自适应以太网接口；≥1路USB接口。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17.在监视或录像状态下，监视画面无明显缺损，物体移动时画面边缘无明显锯齿、拉毛现象。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18.集合定点看全景、动点看细节的优势，达到既能看全又能看清的效果，适用于教室学生人脸点名及学生行为分析。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19.控制接口：RS-232 IN，RS-232 OUT/RS-485。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20.电源：≤DC12V，功耗：≤20W。</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9</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指向性话筒</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1.单体:背极式驻极体。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指向性:心型指向/超心型指向。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频率响应:50Hz-16kHz。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灵敏度:-45dB±2dB(0dB=1V/Pa at 1kHz)灵敏度高，失真小，动态范围大。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输出阻抗:不少于500Ω/1600Ω±30%(at 1kHz)。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负载阻抗:≥1000Ω。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使用电压:48V幻象电源。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清晰的人声拾音。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幻象电源供电方式。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内置晶体管放大器。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配弹簧传输线。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连接端：XLR三针公卡侬。</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6</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支</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数字音频矩阵</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自带操作软件，直观、图形化软件控制界面。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音频输入：支持≥8路话筒/线路输入，≥4路立体声输入。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音频输出：≥4路线路输出。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采样率：48kHz，A/D、D/A转换。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采用高速DSP处理芯片。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智能自动增益控制（AGC）：自动提升和压缩话筒音量，使之以恒定的电平输出。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全功能矩阵混音功能。</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图像跟踪一体机</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1.要求采用标准19英寸机架式安装。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2.要求主机采用低功耗无风扇设计，不大于DC24V安全电压供电。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要求主机前面板采用单键式极简设计，简约实用，环保智能。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▲4.要求采用嵌入式架构，内置AIoT智能芯片，支持AI图像跟踪技术，能够达到等效5TOPS标准或以上的算力。(投标时须提供具有CNAS标识的检测报告复印件并加盖投标人公章)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5.要求具备≥4路USB接口，支持接入I/O设备。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6.要求具备≥1路LAN网络接口，支持网络传输高清视频，对云台摄像机、录播设备的控制采用网络通讯。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7.集教师跟踪、学生定位、板书定位、学生巡视等导播切换策略于一体。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图像跟踪系统</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要求支持智能图像分析，结合具体的场景能够实现多个活动过程的跟踪识别，并对现场视频图像进行分析，实现常态化教学。即可实现老师、学生多人识别。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2.可快速设定教学有效区域的，光线、场景完全自适应，无论人的正面和侧面都会被准确识别，并能够通过后台查看到多人识别效果。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3.要求采用精细识别，无论学生挥手，左右晃动，前后仰俯晃动具有防误判功能。具备身高自适应功能，不会因老师、学生身高比例不同而影响跟踪效果。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4．要求具备较强的抗干扰能力，采用领先的防抖动特征跟踪算法，图像识别系统不受外在环境影响。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5.要求系统结构设计合理，设置简单，可以实现全自动跟踪识别；支持实时定位，可以自动识别目标位置、实时控制摄像头精确定位，实现特写拍摄。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6.要求系统支持web界面访问，支持预览视频分析状态，可远程操控图像跟踪系统。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7.要求系统支持摄像机自动跟踪，摄像机自动定位学生起立和教师移动，教师走进学生区域时，实时切换成教室全景画面。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8.要求系统支持区域聚焦功能，可通过浏览器在监视画面框选出聚焦区域，以该区域作为参考区域聚焦。系统对讲台区域监视画面框选时，聚焦区域包括教师跟踪、黑板跟踪等，确保智能跟踪分析的准确性。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9.要求系统支持焦距守望功能，可通过浏览器对监视画面设置守望点，可同时设置不少于4个守望点，并将守望点相连形成对学生区域的智能跟踪。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10.要求系统具备跟踪拍摄和切换拍摄两种模式，两种模式之间支持一键切换。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要求系统智能识别教师身体朝向，控制教师或板书摄像机智能切换。当教师面朝学生时，主播画面智能切换至教师特写；当教师面向黑板时，主播画面智能切换至板书特写。板书特写采用伴随跟踪拍摄方式，确保板书特写的拍摄效果。(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12.要求支持手势识别功能，可一键开启或关闭此功能。教师可以通过手势控制学生摄像机的拍摄区域。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13.要求系统支持TCP、UDP两种传输协议，可以同时获取≥4路IP视频流进行智能图像分析，支持信号源地址位、端口等设置，可对教师全景、板书全景、学生全景、学生巡视等景位进行设置。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14.要求支持两种跟踪模式：紧跟模式、“特写”与“全景”切换跟踪模式。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15.具有“模糊防抖”功能，避免人员小幅度活动时引起的摄像机画面抖动现象。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16.要求支持学生起立跟踪功能，支持当学生起立特写跟踪拍摄，同时支持学生起立后自定义为学生与老师双分屏交互画面。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 要求支持多个学生起立跟踪功能，多学生起立切换为学生全景拍摄。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▲18.要求系统支持切换规则定制，可以精确调整切换时间，可设置云台速度，速度系数不少于0～100可调，实现摄像机加速追踪人物。(投标时须提供具有CNAS标识的检测报告复印件并加盖投标人公章)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19.要求系统可设置变焦速度，速度系数不少于1～7可调,实现焦距拉伸时间的调节。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20.要求系统可设置跟踪灵敏度，灵敏度系数不少于0～9999可调，实现图像跟踪的自定义灵敏度调节。</w:t>
            </w:r>
          </w:p>
          <w:p>
            <w:pPr>
              <w:widowControl/>
              <w:numPr>
                <w:ilvl w:val="255"/>
                <w:numId w:val="0"/>
              </w:numPr>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21.要求系统支持在线升级更新。</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跟踪半球</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1. 要求传感器类型不小于 1/2.8英寸CMOS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2.要求像素 ≥200万 ，最大分辨率 1920×1080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3.扫描方式 逐行扫描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4.信噪比 ＞56dB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5.镜头类型 定焦 ，镜头焦距 2.8mm ，镜头光圈 F2.0 ，光圈控制 固定光圈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 要求视场角 ≥水平106°×垂直55°×对角126°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7.视频压缩标准 H.265;H.264;H.264H;H.264B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视频帧率 50Hz：主码流(1920×1080@25fps),辅码流(704×576@25fps);60Hz：主码流(1920×1080@30fps),辅码流(704×480@30fps)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视频码率 H.264：32Kbps～6144Kbps; H.265：12Kbps～6144Kbps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8.支持宽动态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 要求网络接口≥1个（RJ-45网口,支持10M/100M 网络数据）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10.供电方式 DC12V。</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桌面式触摸面板</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1.采用≥7英寸触摸式控制面板，一键式控制，与录播和时序电源控制器配套使用。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2.支持控制录播系统的录制、暂停、停止、VGA锁定、手自动切换等操作。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3.支持对录播系统进行台标与字幕的显示控制。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4.支持预览通道选择，以及画面布局切换，通过中控即可进行师生对话、三分屏等画面布局的选择。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5.支持一键开启，与一键关闭的操作。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6.支持对摄像机进行预置位选择。 </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个</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时序电源控制器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1、整机功率：15A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2、单路功率：13A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3、继电器功率：30A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4、输出路数：8路受控，2路直通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5、USB输出：5V1A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6、显示方式：2.4寸显示屏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7、通讯方式：Rs232，网口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8、级联数：255台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9、波特率：2400-4800-9600-19200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10、电源线规格：3*2.5平方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11、产品尺寸：W460*D211*H50mm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12、重量：4.5KG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13、包装尺寸：W550*D332*H86mm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14、面板颜色：铝材黑色拉丝面板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highlight w:val="none"/>
                <w:lang w:bidi="ar"/>
              </w:rPr>
              <w:t>资源管理平台</w:t>
            </w:r>
          </w:p>
        </w:tc>
        <w:tc>
          <w:tcPr>
            <w:tcW w:w="5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center"/>
              <w:rPr>
                <w:highlight w:val="none"/>
              </w:rPr>
            </w:pPr>
            <w:r>
              <w:rPr>
                <w:rFonts w:hint="eastAsia"/>
              </w:rPr>
              <w:t>开放平台</w:t>
            </w:r>
            <w:r>
              <w:rPr>
                <w:rFonts w:hint="eastAsia"/>
              </w:rPr>
              <w:br w:type="textWrapping"/>
            </w:r>
            <w:r>
              <w:rPr>
                <w:rFonts w:hint="eastAsia"/>
              </w:rPr>
              <w:t xml:space="preserve">1.统一认证管理 </w:t>
            </w:r>
            <w:r>
              <w:rPr>
                <w:rFonts w:hint="eastAsia"/>
              </w:rPr>
              <w:br w:type="textWrapping"/>
            </w:r>
            <w:r>
              <w:rPr>
                <w:rFonts w:hint="eastAsia"/>
              </w:rPr>
              <w:t>（1）支持用户的集中和统一管理，对各类应用进行认证集成，对用户提供统一的电子身份，支持统一的用户认证方式。</w:t>
            </w:r>
            <w:r>
              <w:rPr>
                <w:rFonts w:hint="eastAsia"/>
              </w:rPr>
              <w:br w:type="textWrapping"/>
            </w:r>
            <w:r>
              <w:rPr>
                <w:rFonts w:hint="eastAsia"/>
              </w:rPr>
              <w:t>（2）支持单点登录，用户登录平台后，可直接访问已授权的应用系统或模块，无须重复登录即可在应用间进行切换。</w:t>
            </w:r>
            <w:r>
              <w:rPr>
                <w:rFonts w:hint="eastAsia"/>
              </w:rPr>
              <w:br w:type="textWrapping"/>
            </w:r>
            <w:r>
              <w:rPr>
                <w:rFonts w:hint="eastAsia"/>
              </w:rPr>
              <w:t>（3）基于分级授权可有效控制用户对不同系统的访问操作权限，统一认证服务通过提供统一的认证服务、授权服务、集中管理用户信息、集中审计，保证系统整体安全性、可靠性和易用性。</w:t>
            </w:r>
            <w:r>
              <w:rPr>
                <w:rFonts w:hint="eastAsia"/>
              </w:rPr>
              <w:br w:type="textWrapping"/>
            </w:r>
            <w:r>
              <w:rPr>
                <w:rFonts w:hint="eastAsia"/>
              </w:rPr>
              <w:t xml:space="preserve">2.统一数据标准 </w:t>
            </w:r>
            <w:r>
              <w:rPr>
                <w:rFonts w:hint="eastAsia"/>
              </w:rPr>
              <w:br w:type="textWrapping"/>
            </w:r>
            <w:r>
              <w:rPr>
                <w:rFonts w:hint="eastAsia"/>
              </w:rPr>
              <w:t>（1）支持建立各应用系统沟通和对外服务的统一接口标准和服务标准，实现数据格式定义、数据映射、数据转换、业务流程定义与运行、消息封装、路由、传输等具体服务。</w:t>
            </w:r>
            <w:r>
              <w:rPr>
                <w:rFonts w:hint="eastAsia"/>
              </w:rPr>
              <w:br w:type="textWrapping"/>
            </w:r>
            <w:r>
              <w:rPr>
                <w:rFonts w:hint="eastAsia"/>
              </w:rPr>
              <w:t>（2）提供开放的接口程序，满足多种软件开发工具及不同操作系统通过接口程序进行数据交换需求。</w:t>
            </w:r>
            <w:r>
              <w:rPr>
                <w:rFonts w:hint="eastAsia"/>
              </w:rPr>
              <w:br w:type="textWrapping"/>
            </w:r>
            <w:r>
              <w:rPr>
                <w:rFonts w:hint="eastAsia"/>
              </w:rPr>
              <w:t>（3）具有数据安全管理功能，保障关键数据的安全传输。</w:t>
            </w:r>
            <w:r>
              <w:rPr>
                <w:rFonts w:hint="eastAsia"/>
              </w:rPr>
              <w:br w:type="textWrapping"/>
            </w:r>
            <w:r>
              <w:rPr>
                <w:rFonts w:hint="eastAsia"/>
              </w:rPr>
              <w:t>二、平台管理</w:t>
            </w:r>
            <w:r>
              <w:rPr>
                <w:rFonts w:hint="eastAsia"/>
              </w:rPr>
              <w:br w:type="textWrapping"/>
            </w:r>
            <w:r>
              <w:rPr>
                <w:rFonts w:hint="eastAsia"/>
              </w:rPr>
              <w:t xml:space="preserve">1.数据看板 </w:t>
            </w:r>
            <w:r>
              <w:rPr>
                <w:rFonts w:hint="eastAsia"/>
              </w:rPr>
              <w:br w:type="textWrapping"/>
            </w:r>
            <w:r>
              <w:rPr>
                <w:rFonts w:hint="eastAsia"/>
              </w:rPr>
              <w:t>（1）为学校管理者提供教育信息化和设备应用数据。</w:t>
            </w:r>
            <w:r>
              <w:rPr>
                <w:rFonts w:hint="eastAsia"/>
              </w:rPr>
              <w:br w:type="textWrapping"/>
            </w:r>
            <w:r>
              <w:rPr>
                <w:rFonts w:hint="eastAsia"/>
              </w:rPr>
              <w:t>（2）支持查看已使用设备的教室、班级、设备数量，均可查看今日新增和累计数量。</w:t>
            </w:r>
            <w:r>
              <w:rPr>
                <w:rFonts w:hint="eastAsia"/>
              </w:rPr>
              <w:br w:type="textWrapping"/>
            </w:r>
            <w:r>
              <w:rPr>
                <w:rFonts w:hint="eastAsia"/>
              </w:rPr>
              <w:t>（3）支持查看教师教学情况，可查看新增和累计的教师数量以及教师备授课数据。课前数据显示演示资源、课堂练习和微课录制数量；课中数据显示互动课堂数量；课后数据显示布置任务和批改任务的数量。</w:t>
            </w:r>
            <w:r>
              <w:rPr>
                <w:rFonts w:hint="eastAsia"/>
              </w:rPr>
              <w:br w:type="textWrapping"/>
            </w:r>
            <w:r>
              <w:rPr>
                <w:rFonts w:hint="eastAsia"/>
              </w:rPr>
              <w:t>（4）支持查看学生学习情况，可查看新增和累计的学生数量以及学生参与学习的数据。课前预习数据显示累计次数、按时完成的次数以及超时完成的次数；互动课堂数据显示累计次数、累计人次以及互动总时长；课后任务数据显示累计次数、按时完成次数以及超时完成次数。</w:t>
            </w:r>
            <w:r>
              <w:rPr>
                <w:rFonts w:hint="eastAsia"/>
              </w:rPr>
              <w:br w:type="textWrapping"/>
            </w:r>
            <w:r>
              <w:rPr>
                <w:rFonts w:hint="eastAsia"/>
              </w:rPr>
              <w:t>（5）支持查看名师教研情况，可查看教研室创建数量和参与人次、协同备课次数及备课成果数、教学研讨次数及参与人次、在线听评课次数及课程数、评比活动数量及作品数。</w:t>
            </w:r>
            <w:r>
              <w:rPr>
                <w:rFonts w:hint="eastAsia"/>
              </w:rPr>
              <w:br w:type="textWrapping"/>
            </w:r>
            <w:r>
              <w:rPr>
                <w:rFonts w:hint="eastAsia"/>
              </w:rPr>
              <w:t>（6）支持查看名校课程情况，可查看名校数量、直播课程数量、学习课程数量以及访问量。直播课程数量支持教学、教研、讲座数量的统计；学习课程支持课例和微课数量的统计；访问量支持直播课程和学习课程数量的统计。</w:t>
            </w:r>
            <w:r>
              <w:rPr>
                <w:rFonts w:hint="eastAsia"/>
              </w:rPr>
              <w:br w:type="textWrapping"/>
            </w:r>
            <w:r>
              <w:rPr>
                <w:rFonts w:hint="eastAsia"/>
              </w:rPr>
              <w:t>（7）支持查看专递课堂情况，可查看专递组、专递课程、授课教师和参与学生的数量。</w:t>
            </w:r>
            <w:r>
              <w:rPr>
                <w:rFonts w:hint="eastAsia"/>
              </w:rPr>
              <w:br w:type="textWrapping"/>
            </w:r>
            <w:r>
              <w:rPr>
                <w:rFonts w:hint="eastAsia"/>
              </w:rPr>
              <w:t>（8）支持查看已安装设备总体情况，可查看总设备数、总开机时间、总/平均开机次数、平均运行时间等。</w:t>
            </w:r>
            <w:r>
              <w:rPr>
                <w:rFonts w:hint="eastAsia"/>
              </w:rPr>
              <w:br w:type="textWrapping"/>
            </w:r>
            <w:r>
              <w:rPr>
                <w:rFonts w:hint="eastAsia"/>
              </w:rPr>
              <w:t>（9）支持查看智慧黑板、交互智能平板、录播一体机以及学习平板等设备的详细情况，包括今天新增数量、累计数量、累计使用次数、累计使用时长等，还可查看设备分布情况、设备使用率、设备使用时长、设备使用时长排行榜等。录播设备支持按照本周、本月和本年在线状态、录制状态、直播状态和互动状态的统计。</w:t>
            </w:r>
            <w:r>
              <w:rPr>
                <w:rFonts w:hint="eastAsia"/>
              </w:rPr>
              <w:br w:type="textWrapping"/>
            </w:r>
            <w:r>
              <w:rPr>
                <w:rFonts w:hint="eastAsia"/>
              </w:rPr>
              <w:t xml:space="preserve">2.角色管理 </w:t>
            </w:r>
            <w:r>
              <w:rPr>
                <w:rFonts w:hint="eastAsia"/>
              </w:rPr>
              <w:br w:type="textWrapping"/>
            </w:r>
            <w:r>
              <w:rPr>
                <w:rFonts w:hint="eastAsia"/>
              </w:rPr>
              <w:t>支持对角色数据的操作，包括创建、删除、修改、查询等。可创建多个角色并为每个角色赋予不同权限。权限包括资源目录的创建，资源审核的通过、退回、上架、下架、上报、撤回；学期校历的新增、修改、查看；教研组的新增、修改、查看、删除、导入、导出；课程的新增、修改、查看、删除、导入、导出，教师的新增、修改、查看、删除、导入、导出；班级的新增、修改、查看、删除、导入、导出；学生的新增、修改、查看、删除、导入、导出，排课的新增、修改、查看、删除、发布；角色的新增、修改、查看、删除；年级的新增、修改、查看、删除；学科的新增、修改、查看、删除；教学楼的新增、修改、查看、删除；教室的新增、修改、查看、删除、导入；设备的新增、修改、查看、删除；部门的新增、修改、查看、删除；职位的新增、修改、查看、删除等；关联组的修改、查看等。</w:t>
            </w:r>
            <w:r>
              <w:rPr>
                <w:rFonts w:hint="eastAsia"/>
              </w:rPr>
              <w:br w:type="textWrapping"/>
            </w:r>
            <w:r>
              <w:rPr>
                <w:rFonts w:hint="eastAsia"/>
              </w:rPr>
              <w:t xml:space="preserve">3.关联管理 </w:t>
            </w:r>
            <w:r>
              <w:rPr>
                <w:rFonts w:hint="eastAsia"/>
              </w:rPr>
              <w:br w:type="textWrapping"/>
            </w:r>
            <w:r>
              <w:rPr>
                <w:rFonts w:hint="eastAsia"/>
              </w:rPr>
              <w:t>支持学校管理员设置校内班级加入关联组，用以完成远程互动教学。</w:t>
            </w:r>
            <w:r>
              <w:rPr>
                <w:rFonts w:hint="eastAsia"/>
              </w:rPr>
              <w:br w:type="textWrapping"/>
            </w:r>
            <w:r>
              <w:rPr>
                <w:rFonts w:hint="eastAsia"/>
              </w:rPr>
              <w:t xml:space="preserve">4.学制管理 </w:t>
            </w:r>
            <w:r>
              <w:rPr>
                <w:rFonts w:hint="eastAsia"/>
              </w:rPr>
              <w:br w:type="textWrapping"/>
            </w:r>
            <w:r>
              <w:rPr>
                <w:rFonts w:hint="eastAsia"/>
              </w:rPr>
              <w:t>支持对本校开展的学科、涵盖的年级进行管理配置。</w:t>
            </w:r>
            <w:r>
              <w:rPr>
                <w:rFonts w:hint="eastAsia"/>
              </w:rPr>
              <w:br w:type="textWrapping"/>
            </w:r>
            <w:r>
              <w:rPr>
                <w:rFonts w:hint="eastAsia"/>
              </w:rPr>
              <w:t xml:space="preserve">5.资产管理 </w:t>
            </w:r>
            <w:r>
              <w:rPr>
                <w:rFonts w:hint="eastAsia"/>
              </w:rPr>
              <w:br w:type="textWrapping"/>
            </w:r>
            <w:r>
              <w:rPr>
                <w:rFonts w:hint="eastAsia"/>
              </w:rPr>
              <w:t>支持对学校资产进行管理，包括教学楼、教室、设备等。</w:t>
            </w:r>
            <w:r>
              <w:rPr>
                <w:rFonts w:hint="eastAsia"/>
              </w:rPr>
              <w:br w:type="textWrapping"/>
            </w:r>
            <w:r>
              <w:rPr>
                <w:rFonts w:hint="eastAsia"/>
              </w:rPr>
              <w:t xml:space="preserve">6.操作记录管理 </w:t>
            </w:r>
            <w:r>
              <w:rPr>
                <w:rFonts w:hint="eastAsia"/>
              </w:rPr>
              <w:br w:type="textWrapping"/>
            </w:r>
            <w:r>
              <w:rPr>
                <w:rFonts w:hint="eastAsia"/>
              </w:rPr>
              <w:t>支持查看所属权限内的用户操作记录，以防止数据误删等毁灭性操作，保障平台数据安全。</w:t>
            </w:r>
            <w:r>
              <w:rPr>
                <w:rFonts w:hint="eastAsia"/>
              </w:rPr>
              <w:br w:type="textWrapping"/>
            </w:r>
            <w:r>
              <w:rPr>
                <w:rFonts w:hint="eastAsia"/>
              </w:rPr>
              <w:t>三、教研管理</w:t>
            </w:r>
            <w:r>
              <w:rPr>
                <w:rFonts w:hint="eastAsia"/>
              </w:rPr>
              <w:br w:type="textWrapping"/>
            </w:r>
            <w:r>
              <w:rPr>
                <w:rFonts w:hint="eastAsia"/>
              </w:rPr>
              <w:t xml:space="preserve">1.教研室 </w:t>
            </w:r>
            <w:r>
              <w:rPr>
                <w:rFonts w:hint="eastAsia"/>
              </w:rPr>
              <w:br w:type="textWrapping"/>
            </w:r>
            <w:r>
              <w:rPr>
                <w:rFonts w:hint="eastAsia"/>
              </w:rPr>
              <w:t>（1）支持所有教师创建教研室，创建时支持设置加入教研室的权限。</w:t>
            </w:r>
            <w:r>
              <w:rPr>
                <w:rFonts w:hint="eastAsia"/>
              </w:rPr>
              <w:br w:type="textWrapping"/>
            </w:r>
            <w:r>
              <w:rPr>
                <w:rFonts w:hint="eastAsia"/>
              </w:rPr>
              <w:t>（2）支持人员管理，创建者可踢除成员、邀请成员，成员可主动退出。邀请人员时支持生成邀请链接。</w:t>
            </w:r>
            <w:r>
              <w:rPr>
                <w:rFonts w:hint="eastAsia"/>
              </w:rPr>
              <w:br w:type="textWrapping"/>
            </w:r>
            <w:r>
              <w:rPr>
                <w:rFonts w:hint="eastAsia"/>
              </w:rPr>
              <w:t>（3）可使用共享资料模块、教学研讨模块和协同备课模块（创建者可设置模块权限）</w:t>
            </w:r>
            <w:r>
              <w:rPr>
                <w:rFonts w:hint="eastAsia"/>
              </w:rPr>
              <w:br w:type="textWrapping"/>
            </w:r>
            <w:r>
              <w:rPr>
                <w:rFonts w:hint="eastAsia"/>
              </w:rPr>
              <w:t xml:space="preserve">2.教学研讨 </w:t>
            </w:r>
            <w:r>
              <w:rPr>
                <w:rFonts w:hint="eastAsia"/>
              </w:rPr>
              <w:br w:type="textWrapping"/>
            </w:r>
            <w:r>
              <w:rPr>
                <w:rFonts w:hint="eastAsia"/>
              </w:rPr>
              <w:t>（1）支持教研室内教师创建教学研讨活动，可以设置参与研讨权限，研讨权限支持自由参与研讨和教研室成员参与研讨。</w:t>
            </w:r>
            <w:r>
              <w:rPr>
                <w:rFonts w:hint="eastAsia"/>
              </w:rPr>
              <w:br w:type="textWrapping"/>
            </w:r>
            <w:r>
              <w:rPr>
                <w:rFonts w:hint="eastAsia"/>
              </w:rPr>
              <w:t>（2）支持创建研讨，可对研讨主题、研讨时间、研讨说明、添加资源、学段、学科进行设置，其中添加资源可以添加不超过10个本地资源和云端资源。</w:t>
            </w:r>
            <w:r>
              <w:rPr>
                <w:rFonts w:hint="eastAsia"/>
              </w:rPr>
              <w:br w:type="textWrapping"/>
            </w:r>
            <w:r>
              <w:rPr>
                <w:rFonts w:hint="eastAsia"/>
              </w:rPr>
              <w:t>（3）上传教研共享资料时支持设置文件收藏和下载的权限设置。</w:t>
            </w:r>
            <w:r>
              <w:rPr>
                <w:rFonts w:hint="eastAsia"/>
              </w:rPr>
              <w:br w:type="textWrapping"/>
            </w:r>
            <w:r>
              <w:rPr>
                <w:rFonts w:hint="eastAsia"/>
              </w:rPr>
              <w:t>（4）支持对活动资料共享和收藏。</w:t>
            </w:r>
            <w:r>
              <w:rPr>
                <w:rFonts w:hint="eastAsia"/>
              </w:rPr>
              <w:br w:type="textWrapping"/>
            </w:r>
            <w:r>
              <w:rPr>
                <w:rFonts w:hint="eastAsia"/>
              </w:rPr>
              <w:t>（5）支持我的研讨，展示本人账号下参加和创建的教研活动，参加研讨时支持本地教研文档的上传。</w:t>
            </w:r>
            <w:r>
              <w:rPr>
                <w:rFonts w:hint="eastAsia"/>
              </w:rPr>
              <w:br w:type="textWrapping"/>
            </w:r>
            <w:r>
              <w:rPr>
                <w:rFonts w:hint="eastAsia"/>
              </w:rPr>
              <w:t xml:space="preserve">3.协同备课 </w:t>
            </w:r>
            <w:r>
              <w:rPr>
                <w:rFonts w:hint="eastAsia"/>
              </w:rPr>
              <w:br w:type="textWrapping"/>
            </w:r>
            <w:r>
              <w:rPr>
                <w:rFonts w:hint="eastAsia"/>
              </w:rPr>
              <w:t>（1）支持教研室内教师创建协同备课，可对教研室外人员加入权限做设置。</w:t>
            </w:r>
            <w:r>
              <w:rPr>
                <w:rFonts w:hint="eastAsia"/>
              </w:rPr>
              <w:br w:type="textWrapping"/>
            </w:r>
            <w:r>
              <w:rPr>
                <w:rFonts w:hint="eastAsia"/>
              </w:rPr>
              <w:t>（2）支持共同编辑，可按照备课模板进行协同备课操作，创建者可以管理备课内容，支持对学习目标、教学重难点、教学时间、添加资源、教学过程、添加课件和教学反思的编辑，其中可以手动输入学习目标、教学重难点，也可以添加已编辑好的附件；添加的课件支持多种文件格式，平台可自动转化成PDF格式。支持学习目标、教学重难点、添加资源和教学时间的设置，支持指定人员编辑某部分内容。</w:t>
            </w:r>
            <w:r>
              <w:rPr>
                <w:rFonts w:hint="eastAsia"/>
              </w:rPr>
              <w:br w:type="textWrapping"/>
            </w:r>
            <w:r>
              <w:rPr>
                <w:rFonts w:hint="eastAsia"/>
              </w:rPr>
              <w:t>（3）支持将备课结果导出为word文档，备课课件支持下载到本地。</w:t>
            </w:r>
            <w:r>
              <w:rPr>
                <w:rFonts w:hint="eastAsia"/>
              </w:rPr>
              <w:br w:type="textWrapping"/>
            </w:r>
            <w:r>
              <w:rPr>
                <w:rFonts w:hint="eastAsia"/>
              </w:rPr>
              <w:t xml:space="preserve">4.共享中心 </w:t>
            </w:r>
            <w:r>
              <w:rPr>
                <w:rFonts w:hint="eastAsia"/>
              </w:rPr>
              <w:br w:type="textWrapping"/>
            </w:r>
            <w:r>
              <w:rPr>
                <w:rFonts w:hint="eastAsia"/>
              </w:rPr>
              <w:t>（1）支持教研室上传资料，自动收集教学研讨中和协同备课中共享的资料。</w:t>
            </w:r>
            <w:r>
              <w:rPr>
                <w:rFonts w:hint="eastAsia"/>
              </w:rPr>
              <w:br w:type="textWrapping"/>
            </w:r>
            <w:r>
              <w:rPr>
                <w:rFonts w:hint="eastAsia"/>
              </w:rPr>
              <w:t>（2）支持上传文档、视频、微课、音频、图片。</w:t>
            </w:r>
            <w:r>
              <w:rPr>
                <w:rFonts w:hint="eastAsia"/>
              </w:rPr>
              <w:br w:type="textWrapping"/>
            </w:r>
            <w:r>
              <w:rPr>
                <w:rFonts w:hint="eastAsia"/>
              </w:rPr>
              <w:t xml:space="preserve">5.评比活动 </w:t>
            </w:r>
            <w:r>
              <w:rPr>
                <w:rFonts w:hint="eastAsia"/>
              </w:rPr>
              <w:br w:type="textWrapping"/>
            </w:r>
            <w:r>
              <w:rPr>
                <w:rFonts w:hint="eastAsia"/>
              </w:rPr>
              <w:t>（1）支持校级管理员创建评比活动，支持设置评比时间阶段、合作单位、允许参比范围、参比人数上限、赛制分组、评比方式、评分标注、评委认定、每人限制上传数量、奖项设置和活动明细等。</w:t>
            </w:r>
            <w:r>
              <w:rPr>
                <w:rFonts w:hint="eastAsia"/>
              </w:rPr>
              <w:br w:type="textWrapping"/>
            </w:r>
            <w:r>
              <w:rPr>
                <w:rFonts w:hint="eastAsia"/>
              </w:rPr>
              <w:t>（2）评比活动的评比方式支持打分评比和投票评比，打分评比支持评分标准和评委的简历制定；投票评比支持每位用户可投票数的设定，以及可为同一选手可投票数的设定。</w:t>
            </w:r>
            <w:r>
              <w:rPr>
                <w:rFonts w:hint="eastAsia"/>
              </w:rPr>
              <w:br w:type="textWrapping"/>
            </w:r>
            <w:r>
              <w:rPr>
                <w:rFonts w:hint="eastAsia"/>
              </w:rPr>
              <w:t>（3）支持展示全部评比活动列表，可对活动状态以及活动种类进行筛选。</w:t>
            </w:r>
            <w:r>
              <w:rPr>
                <w:rFonts w:hint="eastAsia"/>
              </w:rPr>
              <w:br w:type="textWrapping"/>
            </w:r>
            <w:r>
              <w:rPr>
                <w:rFonts w:hint="eastAsia"/>
              </w:rPr>
              <w:t>（4）支持评委进入评比页面显示评比内容、评分标准。参比人员显示活动状态，可上传参评作品。</w:t>
            </w:r>
            <w:r>
              <w:rPr>
                <w:rFonts w:hint="eastAsia"/>
              </w:rPr>
              <w:br w:type="textWrapping"/>
            </w:r>
            <w:r>
              <w:rPr>
                <w:rFonts w:hint="eastAsia"/>
              </w:rPr>
              <w:t>（5）支持区分我参加的与我评审的，对参与的活动和评比的活动进行记录，支持评比内容回顾。</w:t>
            </w:r>
            <w:r>
              <w:rPr>
                <w:rFonts w:hint="eastAsia"/>
              </w:rPr>
              <w:br w:type="textWrapping"/>
            </w:r>
            <w:r>
              <w:rPr>
                <w:rFonts w:hint="eastAsia"/>
              </w:rPr>
              <w:t xml:space="preserve">6.在线听评课 </w:t>
            </w:r>
            <w:r>
              <w:rPr>
                <w:rFonts w:hint="eastAsia"/>
              </w:rPr>
              <w:br w:type="textWrapping"/>
            </w:r>
            <w:r>
              <w:rPr>
                <w:rFonts w:hint="eastAsia"/>
              </w:rPr>
              <w:t>（1）支持校级管理员创建听评课主题，支持对听评课模式、评委认定、分值评价、星级评价、结束时间以及过期是否可见、每人上传课程数量进行设置。</w:t>
            </w:r>
            <w:r>
              <w:rPr>
                <w:rFonts w:hint="eastAsia"/>
              </w:rPr>
              <w:br w:type="textWrapping"/>
            </w:r>
            <w:r>
              <w:rPr>
                <w:rFonts w:hint="eastAsia"/>
              </w:rPr>
              <w:t>（2）支持参与活动的教师查看参加听评课主题列表，可以直播、录播课形式参与听评课，支持查看其余参评教师已上传的课程，并进行留言讨论。支持查看评委给予自己上传课程的打分与打分详情。</w:t>
            </w:r>
            <w:r>
              <w:rPr>
                <w:rFonts w:hint="eastAsia"/>
              </w:rPr>
              <w:br w:type="textWrapping"/>
            </w:r>
            <w:r>
              <w:rPr>
                <w:rFonts w:hint="eastAsia"/>
              </w:rPr>
              <w:t>（3）支持评审教师根据已设定的规则评价此主题下已上传的课程。</w:t>
            </w:r>
            <w:r>
              <w:rPr>
                <w:rFonts w:hint="eastAsia"/>
              </w:rPr>
              <w:br w:type="textWrapping"/>
            </w:r>
            <w:r>
              <w:rPr>
                <w:rFonts w:hint="eastAsia"/>
              </w:rPr>
              <w:t>四、课程管理</w:t>
            </w:r>
            <w:r>
              <w:rPr>
                <w:rFonts w:hint="eastAsia"/>
              </w:rPr>
              <w:br w:type="textWrapping"/>
            </w:r>
            <w:r>
              <w:rPr>
                <w:rFonts w:hint="eastAsia"/>
              </w:rPr>
              <w:t xml:space="preserve">1.数据统计 </w:t>
            </w:r>
            <w:r>
              <w:rPr>
                <w:rFonts w:hint="eastAsia"/>
              </w:rPr>
              <w:br w:type="textWrapping"/>
            </w:r>
            <w:r>
              <w:rPr>
                <w:rFonts w:hint="eastAsia"/>
              </w:rPr>
              <w:t>支持所有小学、初中、高中名校数量的统计；支持所有教学、教研、讲座直播课程数量的统计，支持所有课例、微课学习课程的统计，支持直播课程、学习课程访问量的统计。</w:t>
            </w:r>
            <w:r>
              <w:rPr>
                <w:rFonts w:hint="eastAsia"/>
              </w:rPr>
              <w:br w:type="textWrapping"/>
            </w:r>
            <w:r>
              <w:rPr>
                <w:rFonts w:hint="eastAsia"/>
              </w:rPr>
              <w:t xml:space="preserve">2.名校风采 </w:t>
            </w:r>
            <w:r>
              <w:rPr>
                <w:rFonts w:hint="eastAsia"/>
              </w:rPr>
              <w:br w:type="textWrapping"/>
            </w:r>
            <w:r>
              <w:rPr>
                <w:rFonts w:hint="eastAsia"/>
              </w:rPr>
              <w:t>（1）支持查看全国的学校列表，可进入查看学校对应的主页。</w:t>
            </w:r>
            <w:r>
              <w:rPr>
                <w:rFonts w:hint="eastAsia"/>
              </w:rPr>
              <w:br w:type="textWrapping"/>
            </w:r>
            <w:r>
              <w:rPr>
                <w:rFonts w:hint="eastAsia"/>
              </w:rPr>
              <w:t>（2）学校主页包括学校简介、直播课程、学习课程，统计访问量的统计。</w:t>
            </w:r>
            <w:r>
              <w:rPr>
                <w:rFonts w:hint="eastAsia"/>
              </w:rPr>
              <w:br w:type="textWrapping"/>
            </w:r>
            <w:r>
              <w:rPr>
                <w:rFonts w:hint="eastAsia"/>
              </w:rPr>
              <w:t>（3）支持检索功能，支持按省市区县、学段（小学、初中、高中）进行筛选。</w:t>
            </w:r>
            <w:r>
              <w:rPr>
                <w:rFonts w:hint="eastAsia"/>
              </w:rPr>
              <w:br w:type="textWrapping"/>
            </w:r>
            <w:r>
              <w:rPr>
                <w:rFonts w:hint="eastAsia"/>
              </w:rPr>
              <w:t>（4）支持登录后用户进入各个校级平台，可查看各学校各栏目中的课程。</w:t>
            </w:r>
            <w:r>
              <w:rPr>
                <w:rFonts w:hint="eastAsia"/>
              </w:rPr>
              <w:br w:type="textWrapping"/>
            </w:r>
            <w:r>
              <w:rPr>
                <w:rFonts w:hint="eastAsia"/>
              </w:rPr>
              <w:t>（5）学校直播课程中支持直播中、未直播、已结束和全部课程的显示，其中直播中的课程支持查看直播视频，直播支持分享、点赞和发表评论，支持直播课件的下载。</w:t>
            </w:r>
            <w:r>
              <w:rPr>
                <w:rFonts w:hint="eastAsia"/>
              </w:rPr>
              <w:br w:type="textWrapping"/>
            </w:r>
            <w:r>
              <w:rPr>
                <w:rFonts w:hint="eastAsia"/>
              </w:rPr>
              <w:t xml:space="preserve">3.直播课程 </w:t>
            </w:r>
            <w:r>
              <w:rPr>
                <w:rFonts w:hint="eastAsia"/>
              </w:rPr>
              <w:br w:type="textWrapping"/>
            </w:r>
            <w:r>
              <w:rPr>
                <w:rFonts w:hint="eastAsia"/>
              </w:rPr>
              <w:t>（1）支持查看学校内所有可看的直播课程列表。</w:t>
            </w:r>
            <w:r>
              <w:rPr>
                <w:rFonts w:hint="eastAsia"/>
              </w:rPr>
              <w:br w:type="textWrapping"/>
            </w:r>
            <w:r>
              <w:rPr>
                <w:rFonts w:hint="eastAsia"/>
              </w:rPr>
              <w:t>（2）支持查看直播课程详情，包括课程所属学段、年级、学科、主讲学校、主讲教师、课程简介、课程目录、课程附件（图片、视频、音频、文档），显示课程的播放次数。可对课程点赞、收藏、下载、分享（微信二维码/链接），支持发布留言。</w:t>
            </w:r>
            <w:r>
              <w:rPr>
                <w:rFonts w:hint="eastAsia"/>
              </w:rPr>
              <w:br w:type="textWrapping"/>
            </w:r>
            <w:r>
              <w:rPr>
                <w:rFonts w:hint="eastAsia"/>
              </w:rPr>
              <w:t>（3）支持个人空间创建直播，支持前台入口跳转至个人空间中的创建直播页面。</w:t>
            </w:r>
            <w:r>
              <w:rPr>
                <w:rFonts w:hint="eastAsia"/>
              </w:rPr>
              <w:br w:type="textWrapping"/>
            </w:r>
            <w:r>
              <w:rPr>
                <w:rFonts w:hint="eastAsia"/>
              </w:rPr>
              <w:t xml:space="preserve">4.学习课程 </w:t>
            </w:r>
            <w:r>
              <w:rPr>
                <w:rFonts w:hint="eastAsia"/>
              </w:rPr>
              <w:br w:type="textWrapping"/>
            </w:r>
            <w:r>
              <w:rPr>
                <w:rFonts w:hint="eastAsia"/>
              </w:rPr>
              <w:t>（1）支持查看所有学校公开可见的课程列表。</w:t>
            </w:r>
            <w:r>
              <w:rPr>
                <w:rFonts w:hint="eastAsia"/>
              </w:rPr>
              <w:br w:type="textWrapping"/>
            </w:r>
            <w:r>
              <w:rPr>
                <w:rFonts w:hint="eastAsia"/>
              </w:rPr>
              <w:t>（2）支持查看课程详情，包括展示课程所属学段、年级、学科、主讲学校、主讲教师、课程简介、课程目录、课程附件（图片、视频、音频、文档），显示课程的播放次数。用户登录后可对课程点赞、收藏、下载、分享（微信二维码/链接），支持发布留言。</w:t>
            </w:r>
            <w:r>
              <w:rPr>
                <w:rFonts w:hint="eastAsia"/>
              </w:rPr>
              <w:br w:type="textWrapping"/>
            </w:r>
            <w:r>
              <w:rPr>
                <w:rFonts w:hint="eastAsia"/>
              </w:rPr>
              <w:t>（3）支持进入个人空间上传课程，支持前台入口跳转至个人空间的上传页面。</w:t>
            </w:r>
            <w:r>
              <w:rPr>
                <w:rFonts w:hint="eastAsia"/>
              </w:rPr>
              <w:br w:type="textWrapping"/>
            </w:r>
            <w:r>
              <w:rPr>
                <w:rFonts w:hint="eastAsia"/>
              </w:rPr>
              <w:t xml:space="preserve">5.课程审核 </w:t>
            </w:r>
            <w:r>
              <w:rPr>
                <w:rFonts w:hint="eastAsia"/>
              </w:rPr>
              <w:br w:type="textWrapping"/>
            </w:r>
            <w:r>
              <w:rPr>
                <w:rFonts w:hint="eastAsia"/>
              </w:rPr>
              <w:t>（1）支持上级管理员对下级管理员提交的课程进行审核和上报。</w:t>
            </w:r>
            <w:r>
              <w:rPr>
                <w:rFonts w:hint="eastAsia"/>
              </w:rPr>
              <w:br w:type="textWrapping"/>
            </w:r>
            <w:r>
              <w:rPr>
                <w:rFonts w:hint="eastAsia"/>
              </w:rPr>
              <w:t>（2）支持学校管理员审核该校教师上传的课程，可对课程进行通过或退回的操作，退回说明退回原因，审核通过后视频课程校内账号登录可见，可继续向区域管理员进行上报。</w:t>
            </w:r>
            <w:r>
              <w:rPr>
                <w:rFonts w:hint="eastAsia"/>
              </w:rPr>
              <w:br w:type="textWrapping"/>
            </w:r>
            <w:r>
              <w:rPr>
                <w:rFonts w:hint="eastAsia"/>
              </w:rPr>
              <w:t>（3）支持区域管理员审核该区域内学校管理员上报的课程，可对课程进行审核通过或退回的操作，退回说明退回原因，审核通过后视频课程区域内账号可见，可继续向超级管理员进行上报。</w:t>
            </w:r>
            <w:r>
              <w:rPr>
                <w:rFonts w:hint="eastAsia"/>
              </w:rPr>
              <w:br w:type="textWrapping"/>
            </w:r>
            <w:r>
              <w:rPr>
                <w:rFonts w:hint="eastAsia"/>
              </w:rPr>
              <w:t>五、班级管理</w:t>
            </w:r>
            <w:r>
              <w:rPr>
                <w:rFonts w:hint="eastAsia"/>
              </w:rPr>
              <w:br w:type="textWrapping"/>
            </w:r>
            <w:r>
              <w:rPr>
                <w:rFonts w:hint="eastAsia"/>
              </w:rPr>
              <w:t xml:space="preserve">1.班级列表 </w:t>
            </w:r>
            <w:r>
              <w:rPr>
                <w:rFonts w:hint="eastAsia"/>
              </w:rPr>
              <w:br w:type="textWrapping"/>
            </w:r>
            <w:r>
              <w:rPr>
                <w:rFonts w:hint="eastAsia"/>
              </w:rPr>
              <w:t>支持教师查看任教的所有班级概况，包括班级号、学生人数、班级课表等。</w:t>
            </w:r>
            <w:r>
              <w:rPr>
                <w:rFonts w:hint="eastAsia"/>
              </w:rPr>
              <w:br w:type="textWrapping"/>
            </w:r>
            <w:r>
              <w:rPr>
                <w:rFonts w:hint="eastAsia"/>
              </w:rPr>
              <w:t xml:space="preserve">2.班级表现 </w:t>
            </w:r>
            <w:r>
              <w:rPr>
                <w:rFonts w:hint="eastAsia"/>
              </w:rPr>
              <w:br w:type="textWrapping"/>
            </w:r>
            <w:r>
              <w:rPr>
                <w:rFonts w:hint="eastAsia"/>
              </w:rPr>
              <w:t>支持教师按时间和年级查询班级评价数据，包括各班所得总分及分类得分、点评详情、高频评价以及全部点评项。</w:t>
            </w:r>
            <w:r>
              <w:rPr>
                <w:rFonts w:hint="eastAsia"/>
              </w:rPr>
              <w:br w:type="textWrapping"/>
            </w:r>
            <w:r>
              <w:rPr>
                <w:rFonts w:hint="eastAsia"/>
              </w:rPr>
              <w:t xml:space="preserve">3.个人表现 </w:t>
            </w:r>
            <w:r>
              <w:rPr>
                <w:rFonts w:hint="eastAsia"/>
              </w:rPr>
              <w:br w:type="textWrapping"/>
            </w:r>
            <w:r>
              <w:rPr>
                <w:rFonts w:hint="eastAsia"/>
              </w:rPr>
              <w:t>支持教师按时间、年级、班级查询学生评价数据，包括学生评价总分及分类得分、点评详情、高频评价以及全部点评项。</w:t>
            </w:r>
            <w:r>
              <w:rPr>
                <w:rFonts w:hint="eastAsia"/>
              </w:rPr>
              <w:br w:type="textWrapping"/>
            </w:r>
            <w:r>
              <w:rPr>
                <w:rFonts w:hint="eastAsia"/>
              </w:rPr>
              <w:t xml:space="preserve">4.班级详情 </w:t>
            </w:r>
            <w:r>
              <w:rPr>
                <w:rFonts w:hint="eastAsia"/>
              </w:rPr>
              <w:br w:type="textWrapping"/>
            </w:r>
            <w:r>
              <w:rPr>
                <w:rFonts w:hint="eastAsia"/>
              </w:rPr>
              <w:t>（1）支持显示班级内教师和学生列表，教师显示头像、任教学科和姓名，学生显示头像、学号和姓名。</w:t>
            </w:r>
            <w:r>
              <w:rPr>
                <w:rFonts w:hint="eastAsia"/>
              </w:rPr>
              <w:br w:type="textWrapping"/>
            </w:r>
            <w:r>
              <w:rPr>
                <w:rFonts w:hint="eastAsia"/>
              </w:rPr>
              <w:t>（2）支持对单个或多个学生进行评价，分为表扬和待改进两大类。</w:t>
            </w:r>
            <w:r>
              <w:rPr>
                <w:rFonts w:hint="eastAsia"/>
              </w:rPr>
              <w:br w:type="textWrapping"/>
            </w:r>
            <w:r>
              <w:rPr>
                <w:rFonts w:hint="eastAsia"/>
              </w:rPr>
              <w:t>（3）支持对学生进行分组，最多可分24个小组。每个小组的名称和成员可自行设置和挑选，已入组成员也可移动到其他小组或删除。</w:t>
            </w:r>
            <w:r>
              <w:rPr>
                <w:rFonts w:hint="eastAsia"/>
              </w:rPr>
              <w:br w:type="textWrapping"/>
            </w:r>
            <w:r>
              <w:rPr>
                <w:rFonts w:hint="eastAsia"/>
              </w:rPr>
              <w:t>（4）支持显示所有小组的名称、总人数及成员。</w:t>
            </w:r>
            <w:r>
              <w:rPr>
                <w:rFonts w:hint="eastAsia"/>
              </w:rPr>
              <w:br w:type="textWrapping"/>
            </w:r>
            <w:r>
              <w:rPr>
                <w:rFonts w:hint="eastAsia"/>
              </w:rPr>
              <w:t>（5）支持对学生的账号密码进行重置。</w:t>
            </w:r>
            <w:r>
              <w:rPr>
                <w:rFonts w:hint="eastAsia"/>
              </w:rPr>
              <w:br w:type="textWrapping"/>
            </w:r>
            <w:r>
              <w:rPr>
                <w:rFonts w:hint="eastAsia"/>
              </w:rPr>
              <w:t>六、教务管理</w:t>
            </w:r>
            <w:r>
              <w:rPr>
                <w:rFonts w:hint="eastAsia"/>
              </w:rPr>
              <w:br w:type="textWrapping"/>
            </w:r>
            <w:r>
              <w:rPr>
                <w:rFonts w:hint="eastAsia"/>
              </w:rPr>
              <w:t xml:space="preserve">1.学期校历管理 </w:t>
            </w:r>
            <w:r>
              <w:rPr>
                <w:rFonts w:hint="eastAsia"/>
              </w:rPr>
              <w:br w:type="textWrapping"/>
            </w:r>
            <w:r>
              <w:rPr>
                <w:rFonts w:hint="eastAsia"/>
              </w:rPr>
              <w:t>支持教务人员对学期进行管理，对作息时间和校历进行设置和修改，其中校历可修改学年学期、开学日期、结束日期以及批注信息；作息时间支持添加上午大课间、下午大课间、晚自习等。</w:t>
            </w:r>
            <w:r>
              <w:rPr>
                <w:rFonts w:hint="eastAsia"/>
              </w:rPr>
              <w:br w:type="textWrapping"/>
            </w:r>
            <w:r>
              <w:rPr>
                <w:rFonts w:hint="eastAsia"/>
              </w:rPr>
              <w:t xml:space="preserve">2.教研组管理 </w:t>
            </w:r>
            <w:r>
              <w:rPr>
                <w:rFonts w:hint="eastAsia"/>
              </w:rPr>
              <w:br w:type="textWrapping"/>
            </w:r>
            <w:r>
              <w:rPr>
                <w:rFonts w:hint="eastAsia"/>
              </w:rPr>
              <w:t>支持教研组信息的管理与维护，包括教研组列表、新增、搜索、编辑、删除、导入和导出，其中新增支持语文、数学、英语、物理、化学、生物、地理、历史、道德与法治、科学、音乐、美术、体育、书法、信息技术、综合实践等学科的选择；搜索支持关键字模糊搜索。</w:t>
            </w:r>
            <w:r>
              <w:rPr>
                <w:rFonts w:hint="eastAsia"/>
              </w:rPr>
              <w:br w:type="textWrapping"/>
            </w:r>
            <w:r>
              <w:rPr>
                <w:rFonts w:hint="eastAsia"/>
              </w:rPr>
              <w:t xml:space="preserve">3.课程管理 </w:t>
            </w:r>
            <w:r>
              <w:rPr>
                <w:rFonts w:hint="eastAsia"/>
              </w:rPr>
              <w:br w:type="textWrapping"/>
            </w:r>
            <w:r>
              <w:rPr>
                <w:rFonts w:hint="eastAsia"/>
              </w:rPr>
              <w:t>支持课程信息的管理与维护，包括课程列表、新增、搜索、编辑、删除。新增课程时支持教研组、年级、课程名称、周课时和排课优先级的设置，其中排课优先级支持优先、次优先、不优先的选择。</w:t>
            </w:r>
            <w:r>
              <w:rPr>
                <w:rFonts w:hint="eastAsia"/>
              </w:rPr>
              <w:br w:type="textWrapping"/>
            </w:r>
            <w:r>
              <w:rPr>
                <w:rFonts w:hint="eastAsia"/>
              </w:rPr>
              <w:t xml:space="preserve">4.教师管理 </w:t>
            </w:r>
            <w:r>
              <w:rPr>
                <w:rFonts w:hint="eastAsia"/>
              </w:rPr>
              <w:br w:type="textWrapping"/>
            </w:r>
            <w:r>
              <w:rPr>
                <w:rFonts w:hint="eastAsia"/>
              </w:rPr>
              <w:t>（1）支持按学校对教师信息进行管理与维护。</w:t>
            </w:r>
            <w:r>
              <w:rPr>
                <w:rFonts w:hint="eastAsia"/>
              </w:rPr>
              <w:br w:type="textWrapping"/>
            </w:r>
            <w:r>
              <w:rPr>
                <w:rFonts w:hint="eastAsia"/>
              </w:rPr>
              <w:t>（2）支持单个教师用户的新增、修改、删除及教师用户信息的批量导入、批量导出。支持教师帐号重复性检测、手机绑定、科目绑定。</w:t>
            </w:r>
            <w:r>
              <w:rPr>
                <w:rFonts w:hint="eastAsia"/>
              </w:rPr>
              <w:br w:type="textWrapping"/>
            </w:r>
            <w:r>
              <w:rPr>
                <w:rFonts w:hint="eastAsia"/>
              </w:rPr>
              <w:t>（3）支持按照姓名、手机号、工号、部门、职位、角色、性别、教研组新增教师。支持按照姓名、手机号进行查询。</w:t>
            </w:r>
            <w:r>
              <w:rPr>
                <w:rFonts w:hint="eastAsia"/>
              </w:rPr>
              <w:br w:type="textWrapping"/>
            </w:r>
            <w:r>
              <w:rPr>
                <w:rFonts w:hint="eastAsia"/>
              </w:rPr>
              <w:t>（4）支持分配教师用户所属班级、教研组、部门等机构信息和权限管理。</w:t>
            </w:r>
            <w:r>
              <w:rPr>
                <w:rFonts w:hint="eastAsia"/>
              </w:rPr>
              <w:br w:type="textWrapping"/>
            </w:r>
            <w:r>
              <w:rPr>
                <w:rFonts w:hint="eastAsia"/>
              </w:rPr>
              <w:t xml:space="preserve">5.班级管理 </w:t>
            </w:r>
            <w:r>
              <w:rPr>
                <w:rFonts w:hint="eastAsia"/>
              </w:rPr>
              <w:br w:type="textWrapping"/>
            </w:r>
            <w:r>
              <w:rPr>
                <w:rFonts w:hint="eastAsia"/>
              </w:rPr>
              <w:t>（1）支持添加班级信息，包括班级信息的新增、编辑、删除、查询、批量导入和导出等。</w:t>
            </w:r>
            <w:r>
              <w:rPr>
                <w:rFonts w:hint="eastAsia"/>
              </w:rPr>
              <w:br w:type="textWrapping"/>
            </w:r>
            <w:r>
              <w:rPr>
                <w:rFonts w:hint="eastAsia"/>
              </w:rPr>
              <w:t>（2）支持通过班级名称、年级、教学楼、楼层、班主任对班级列表进行搜索。</w:t>
            </w:r>
            <w:r>
              <w:rPr>
                <w:rFonts w:hint="eastAsia"/>
              </w:rPr>
              <w:br w:type="textWrapping"/>
            </w:r>
            <w:r>
              <w:rPr>
                <w:rFonts w:hint="eastAsia"/>
              </w:rPr>
              <w:t>（3）支持给班级指定班主任和任课教师。</w:t>
            </w:r>
            <w:r>
              <w:rPr>
                <w:rFonts w:hint="eastAsia"/>
              </w:rPr>
              <w:br w:type="textWrapping"/>
            </w:r>
            <w:r>
              <w:rPr>
                <w:rFonts w:hint="eastAsia"/>
              </w:rPr>
              <w:t xml:space="preserve">6.学生管理 </w:t>
            </w:r>
            <w:r>
              <w:rPr>
                <w:rFonts w:hint="eastAsia"/>
              </w:rPr>
              <w:br w:type="textWrapping"/>
            </w:r>
            <w:r>
              <w:rPr>
                <w:rFonts w:hint="eastAsia"/>
              </w:rPr>
              <w:t>（1）支持按学校对学生信息进行管理与维护。</w:t>
            </w:r>
            <w:r>
              <w:rPr>
                <w:rFonts w:hint="eastAsia"/>
              </w:rPr>
              <w:br w:type="textWrapping"/>
            </w:r>
            <w:r>
              <w:rPr>
                <w:rFonts w:hint="eastAsia"/>
              </w:rPr>
              <w:t>（2）支持单个学生用户的新增、修改、删除及学生用户信息的批量导入、批量导出。</w:t>
            </w:r>
            <w:r>
              <w:rPr>
                <w:rFonts w:hint="eastAsia"/>
              </w:rPr>
              <w:br w:type="textWrapping"/>
            </w:r>
            <w:r>
              <w:rPr>
                <w:rFonts w:hint="eastAsia"/>
              </w:rPr>
              <w:t>（3）支持按照姓名、年级、班级、学籍号、手机号、性别等新增学生。支持按照年级、班级、姓名、学号进行查询。</w:t>
            </w:r>
            <w:r>
              <w:rPr>
                <w:rFonts w:hint="eastAsia"/>
              </w:rPr>
              <w:br w:type="textWrapping"/>
            </w:r>
            <w:r>
              <w:rPr>
                <w:rFonts w:hint="eastAsia"/>
              </w:rPr>
              <w:t xml:space="preserve">7.排课管理 </w:t>
            </w:r>
            <w:r>
              <w:rPr>
                <w:rFonts w:hint="eastAsia"/>
              </w:rPr>
              <w:br w:type="textWrapping"/>
            </w:r>
            <w:r>
              <w:rPr>
                <w:rFonts w:hint="eastAsia"/>
              </w:rPr>
              <w:t>（1）支持教务管理人员按学期对整个年级或个别班级进行排课。</w:t>
            </w:r>
            <w:r>
              <w:rPr>
                <w:rFonts w:hint="eastAsia"/>
              </w:rPr>
              <w:br w:type="textWrapping"/>
            </w:r>
            <w:r>
              <w:rPr>
                <w:rFonts w:hint="eastAsia"/>
              </w:rPr>
              <w:t>（2）支持自动排课。仅需选择年级或班级，无需指定任课教师和上课教室，无需设置禁排、预排规则即可轻松排课。支持设置禁排规则，包括班级禁排、课程禁排、教师禁排三个维度，设置后可在排课时对相应的班级、课程、教师进行不排课处理。支持设置预排规则，可按班级对课程进行固定时间、课节的安排。</w:t>
            </w:r>
            <w:r>
              <w:rPr>
                <w:rFonts w:hint="eastAsia"/>
              </w:rPr>
              <w:br w:type="textWrapping"/>
            </w:r>
            <w:r>
              <w:rPr>
                <w:rFonts w:hint="eastAsia"/>
              </w:rPr>
              <w:t>（3）支持手动排课。支持为每个课程手动分配上课教师，可按账号或职称搜索教师。支持为每个课程手动分配上课教室。支持设置禁排规则，包括班级禁排、课程禁排、教师禁排三个维度，设置后可在排课时对相应的班级、课程、教师进行不排课处理。支持按班级对课程逐个进行时间和课节的安排，同时可对已安排的课程进行对调和重置。</w:t>
            </w:r>
            <w:r>
              <w:rPr>
                <w:rFonts w:hint="eastAsia"/>
              </w:rPr>
              <w:br w:type="textWrapping"/>
            </w:r>
            <w:r>
              <w:rPr>
                <w:rFonts w:hint="eastAsia"/>
              </w:rPr>
              <w:t>（4）支持教务人员对已发布的课表进行调课，支持按照班级调课，可显示调课记录。调课成功后会自动通知到涉及到的班级全体教师和学生。</w:t>
            </w:r>
            <w:r>
              <w:rPr>
                <w:rFonts w:hint="eastAsia"/>
              </w:rPr>
              <w:br w:type="textWrapping"/>
            </w:r>
            <w:r>
              <w:rPr>
                <w:rFonts w:hint="eastAsia"/>
              </w:rPr>
              <w:t>（5）支持不同维度查看课表，包括班级课表、教师课表、教室课表、学生课表和总课表，发布后管理者、教师、学生可在平台和手机APP上查看。</w:t>
            </w:r>
            <w:r>
              <w:rPr>
                <w:rFonts w:hint="eastAsia"/>
              </w:rPr>
              <w:br w:type="textWrapping"/>
            </w:r>
            <w:r>
              <w:rPr>
                <w:rFonts w:hint="eastAsia"/>
              </w:rPr>
              <w:t>（6）可按班级查看教师周课时数。</w:t>
            </w:r>
            <w:r>
              <w:rPr>
                <w:rFonts w:hint="eastAsia"/>
              </w:rPr>
              <w:br w:type="textWrapping"/>
            </w:r>
            <w:r>
              <w:rPr>
                <w:rFonts w:hint="eastAsia"/>
              </w:rPr>
              <w:t>七、校务管理</w:t>
            </w:r>
            <w:r>
              <w:rPr>
                <w:rFonts w:hint="eastAsia"/>
              </w:rPr>
              <w:br w:type="textWrapping"/>
            </w:r>
            <w:r>
              <w:rPr>
                <w:rFonts w:hint="eastAsia"/>
              </w:rPr>
              <w:t>1.支持校领导创建各级职能部门，并指定上级部门、分管领导、部门负责人、部门成员。</w:t>
            </w:r>
            <w:r>
              <w:rPr>
                <w:rFonts w:hint="eastAsia"/>
              </w:rPr>
              <w:br w:type="textWrapping"/>
            </w:r>
            <w:r>
              <w:rPr>
                <w:rFonts w:hint="eastAsia"/>
              </w:rPr>
              <w:t>2.支持创建职位，可自定义职位名称。</w:t>
            </w:r>
            <w:r>
              <w:rPr>
                <w:rFonts w:hint="eastAsia"/>
              </w:rPr>
              <w:br w:type="textWrapping"/>
            </w:r>
            <w:r>
              <w:rPr>
                <w:rFonts w:hint="eastAsia"/>
              </w:rPr>
              <w:t>3.支持对职工进行管理，可新增、删除职工，也可将全部职工名单进行导入和导出。</w:t>
            </w:r>
            <w:r>
              <w:rPr>
                <w:rFonts w:hint="eastAsia"/>
              </w:rPr>
              <w:br w:type="textWrapping"/>
            </w:r>
            <w:r>
              <w:rPr>
                <w:rFonts w:hint="eastAsia"/>
              </w:rPr>
              <w:t>4.支持对教职工按姓名、手机号、部门、职位等进行查询，同时支持将搜索结果导出。</w:t>
            </w:r>
            <w:r>
              <w:rPr>
                <w:rFonts w:hint="eastAsia"/>
              </w:rPr>
              <w:br w:type="textWrapping"/>
            </w:r>
            <w:r>
              <w:rPr>
                <w:rFonts w:hint="eastAsia"/>
              </w:rPr>
              <w:t>八、资源管理</w:t>
            </w:r>
            <w:r>
              <w:rPr>
                <w:rFonts w:hint="eastAsia"/>
              </w:rPr>
              <w:br w:type="textWrapping"/>
            </w:r>
            <w:r>
              <w:rPr>
                <w:rFonts w:hint="eastAsia"/>
              </w:rPr>
              <w:t xml:space="preserve">1.平台资源 </w:t>
            </w:r>
            <w:r>
              <w:rPr>
                <w:rFonts w:hint="eastAsia"/>
              </w:rPr>
              <w:br w:type="textWrapping"/>
            </w:r>
            <w:r>
              <w:rPr>
                <w:rFonts w:hint="eastAsia"/>
              </w:rPr>
              <w:t>（1）通过云端提供备课资源服务。</w:t>
            </w:r>
            <w:r>
              <w:rPr>
                <w:rFonts w:hint="eastAsia"/>
              </w:rPr>
              <w:br w:type="textWrapping"/>
            </w:r>
            <w:r>
              <w:rPr>
                <w:rFonts w:hint="eastAsia"/>
              </w:rPr>
              <w:t xml:space="preserve">（2）备课资源符合国家课程标准、相关法律法规、教育元数据规范和其它有关规定。 </w:t>
            </w:r>
            <w:r>
              <w:rPr>
                <w:rFonts w:hint="eastAsia"/>
              </w:rPr>
              <w:br w:type="textWrapping"/>
            </w:r>
            <w:r>
              <w:rPr>
                <w:rFonts w:hint="eastAsia"/>
              </w:rPr>
              <w:t>（3）备课资源与多地教材相配套（其中语文、道德与法治为教育部统编教材），学段涵盖小学、初中、高中，学科至少包括语文、数学、英语、物理、化学、生物、地理、历史、道德与法治、科学、音乐、美术、体育、书法、信息技术、综合实践。</w:t>
            </w:r>
            <w:r>
              <w:rPr>
                <w:rFonts w:hint="eastAsia"/>
              </w:rPr>
              <w:br w:type="textWrapping"/>
            </w:r>
            <w:r>
              <w:rPr>
                <w:rFonts w:hint="eastAsia"/>
              </w:rPr>
              <w:t>（4）备课资源采用同步教材和知识点两种方式进行编排，教师可根据学段、学科、版本、章节、知识点、类型、时间等进行筛选。</w:t>
            </w:r>
            <w:r>
              <w:rPr>
                <w:rFonts w:hint="eastAsia"/>
              </w:rPr>
              <w:br w:type="textWrapping"/>
            </w:r>
            <w:r>
              <w:rPr>
                <w:rFonts w:hint="eastAsia"/>
              </w:rPr>
              <w:t>（5）备课资源类型至少包括课件、教学设计、试题试卷、学案、素材、视频、备课综合、同步练习、电子教材。其中课件包含与人教版教材配套的详细教材解读内容，以及配套训练内容。试题试卷至少包括每日作业、一课一练、开学考试、入学测试、月考、期中、期末、学业、联考、调研、单元测试、竞赛、真题、专题汇编、自主招生、模拟预测；素材资料可分为音频素材、图片素材、其他素材；备课综合可分为教案和课件综合、教案课件测试综合、其他类型综合。</w:t>
            </w:r>
            <w:r>
              <w:rPr>
                <w:rFonts w:hint="eastAsia"/>
              </w:rPr>
              <w:br w:type="textWrapping"/>
            </w:r>
            <w:r>
              <w:rPr>
                <w:rFonts w:hint="eastAsia"/>
              </w:rPr>
              <w:t>（6）备课资源文件格式涵盖DOC、JPG、PPT、PDF、MP3、MP4等所有主流文件类型。</w:t>
            </w:r>
            <w:r>
              <w:rPr>
                <w:rFonts w:hint="eastAsia"/>
              </w:rPr>
              <w:br w:type="textWrapping"/>
            </w:r>
            <w:r>
              <w:rPr>
                <w:rFonts w:hint="eastAsia"/>
              </w:rPr>
              <w:t>（7）课件资源可覆盖小学、初中、高中的全学科，总量不少于20万个；试卷涵盖小学、初中、高中的全学科，总量不少于12万套；微课视频不少于2万节。</w:t>
            </w:r>
            <w:r>
              <w:rPr>
                <w:rFonts w:hint="eastAsia"/>
              </w:rPr>
              <w:br w:type="textWrapping"/>
            </w:r>
            <w:r>
              <w:rPr>
                <w:rFonts w:hint="eastAsia"/>
              </w:rPr>
              <w:t>（8）提供专辑资源，包括同步备课、知识点专题、中高考复习、模拟、摸底、预测、中高考真题、试题汇编等。</w:t>
            </w:r>
            <w:r>
              <w:rPr>
                <w:rFonts w:hint="eastAsia"/>
              </w:rPr>
              <w:br w:type="textWrapping"/>
            </w:r>
            <w:r>
              <w:rPr>
                <w:rFonts w:hint="eastAsia"/>
              </w:rPr>
              <w:t>（9）备课资源支持查看学科、年级、教材版本、教材章节、类别、文档格式、文件大小、上传时间、简介、下载量等。</w:t>
            </w:r>
            <w:r>
              <w:rPr>
                <w:rFonts w:hint="eastAsia"/>
              </w:rPr>
              <w:br w:type="textWrapping"/>
            </w:r>
            <w:r>
              <w:rPr>
                <w:rFonts w:hint="eastAsia"/>
              </w:rPr>
              <w:t>（10）备课资源支持浏览、下载、收藏、分享等操作，方便教师使用。</w:t>
            </w:r>
            <w:r>
              <w:rPr>
                <w:rFonts w:hint="eastAsia"/>
              </w:rPr>
              <w:br w:type="textWrapping"/>
            </w:r>
            <w:r>
              <w:rPr>
                <w:rFonts w:hint="eastAsia"/>
              </w:rPr>
              <w:t>（11）备课资源支持按上传时间、浏览量、下载量进行正倒序排列。</w:t>
            </w:r>
            <w:r>
              <w:rPr>
                <w:rFonts w:hint="eastAsia"/>
              </w:rPr>
              <w:br w:type="textWrapping"/>
            </w:r>
            <w:r>
              <w:rPr>
                <w:rFonts w:hint="eastAsia"/>
              </w:rPr>
              <w:t>（12）支持教师将多渠道提供的资源、个人空间内资源或本机上的资源推送给其他教师参考使用，也可推送给全体或单个学生进行课后自主学习。</w:t>
            </w:r>
            <w:r>
              <w:rPr>
                <w:rFonts w:hint="eastAsia"/>
              </w:rPr>
              <w:br w:type="textWrapping"/>
            </w:r>
            <w:r>
              <w:rPr>
                <w:rFonts w:hint="eastAsia"/>
              </w:rPr>
              <w:t>（13）支持校、教师两级资源建设体系，支持资源按照年级、学科进行统一规范管理。支持校本资源库的自定义目录创建、专属资源上传及审核。教师可以将个人资源一键共享到校本资源空间，供本校其他教师浏览和使用。</w:t>
            </w:r>
            <w:r>
              <w:rPr>
                <w:rFonts w:hint="eastAsia"/>
              </w:rPr>
              <w:br w:type="textWrapping"/>
            </w:r>
            <w:r>
              <w:rPr>
                <w:rFonts w:hint="eastAsia"/>
              </w:rPr>
              <w:t xml:space="preserve">2.区域资源 </w:t>
            </w:r>
            <w:r>
              <w:rPr>
                <w:rFonts w:hint="eastAsia"/>
              </w:rPr>
              <w:br w:type="textWrapping"/>
            </w:r>
            <w:r>
              <w:rPr>
                <w:rFonts w:hint="eastAsia"/>
              </w:rPr>
              <w:t>（1）符合国家课程标准、相关法律法规、教育元数据规范和其它有关规定。</w:t>
            </w:r>
            <w:r>
              <w:rPr>
                <w:rFonts w:hint="eastAsia"/>
              </w:rPr>
              <w:br w:type="textWrapping"/>
            </w:r>
            <w:r>
              <w:rPr>
                <w:rFonts w:hint="eastAsia"/>
              </w:rPr>
              <w:t>（2）区域资源库为区域提供对本区域各类教学资源的存储，包括区域内学校使用的与国家课程同步的教学资源、学校自定义校本课程资源、教师个人的优质教学资源，资源格式支持文本、文档、表格、演示文稿、图片、视频及音频等。</w:t>
            </w:r>
            <w:r>
              <w:rPr>
                <w:rFonts w:hint="eastAsia"/>
              </w:rPr>
              <w:br w:type="textWrapping"/>
            </w:r>
            <w:r>
              <w:rPr>
                <w:rFonts w:hint="eastAsia"/>
              </w:rPr>
              <w:t>（3）支持按目录检索条件、资源筛选排序，并提供校本资源的预览、下载、存到个人资源库功能。</w:t>
            </w:r>
            <w:r>
              <w:rPr>
                <w:rFonts w:hint="eastAsia"/>
              </w:rPr>
              <w:br w:type="textWrapping"/>
            </w:r>
            <w:r>
              <w:rPr>
                <w:rFonts w:hint="eastAsia"/>
              </w:rPr>
              <w:t>（4）支持区域内学校将优质校本资源分享区域资源库存储，提供区域课程资源的分享、获取和使用。</w:t>
            </w:r>
            <w:r>
              <w:rPr>
                <w:rFonts w:hint="eastAsia"/>
              </w:rPr>
              <w:br w:type="textWrapping"/>
            </w:r>
            <w:r>
              <w:rPr>
                <w:rFonts w:hint="eastAsia"/>
              </w:rPr>
              <w:t>（5）支持对学校分享的资源进行审核，审核通过后方可在区域资源库中展示。</w:t>
            </w:r>
            <w:r>
              <w:rPr>
                <w:rFonts w:hint="eastAsia"/>
              </w:rPr>
              <w:br w:type="textWrapping"/>
            </w:r>
            <w:r>
              <w:rPr>
                <w:rFonts w:hint="eastAsia"/>
              </w:rPr>
              <w:t xml:space="preserve">3.校本资源 </w:t>
            </w:r>
            <w:r>
              <w:rPr>
                <w:rFonts w:hint="eastAsia"/>
              </w:rPr>
              <w:br w:type="textWrapping"/>
            </w:r>
            <w:r>
              <w:rPr>
                <w:rFonts w:hint="eastAsia"/>
              </w:rPr>
              <w:t>（1）符合国家课程标准、相关法律法规、教育元数据规范和其它有关规定。</w:t>
            </w:r>
            <w:r>
              <w:rPr>
                <w:rFonts w:hint="eastAsia"/>
              </w:rPr>
              <w:br w:type="textWrapping"/>
            </w:r>
            <w:r>
              <w:rPr>
                <w:rFonts w:hint="eastAsia"/>
              </w:rPr>
              <w:t>（2）校本资源库为学校提供对本校各类教学资源的存储，包括学校使用的与国家课程同步的教学资源、学校自定义校本课程资源、教师个人的优质教学资源，资源格式支持文本、文档、表格、演示文稿、图片、视频及音频等。</w:t>
            </w:r>
            <w:r>
              <w:rPr>
                <w:rFonts w:hint="eastAsia"/>
              </w:rPr>
              <w:br w:type="textWrapping"/>
            </w:r>
            <w:r>
              <w:rPr>
                <w:rFonts w:hint="eastAsia"/>
              </w:rPr>
              <w:t>（3）支持按目录检索条件、资源筛选排序，并提供校本资源的预览、下载、存到个人资源库功能。</w:t>
            </w:r>
            <w:r>
              <w:rPr>
                <w:rFonts w:hint="eastAsia"/>
              </w:rPr>
              <w:br w:type="textWrapping"/>
            </w:r>
            <w:r>
              <w:rPr>
                <w:rFonts w:hint="eastAsia"/>
              </w:rPr>
              <w:t>（4）支持本校教师将个人的优质教育教学资源分享校本资源库存储，提供校本课程资源的分享、获取和使用。</w:t>
            </w:r>
            <w:r>
              <w:rPr>
                <w:rFonts w:hint="eastAsia"/>
              </w:rPr>
              <w:br w:type="textWrapping"/>
            </w:r>
            <w:r>
              <w:rPr>
                <w:rFonts w:hint="eastAsia"/>
              </w:rPr>
              <w:t>（5）支持对教师分享的资源进行审核，审核通过后方可在校本资源库中展示。</w:t>
            </w:r>
            <w:r>
              <w:rPr>
                <w:rFonts w:hint="eastAsia"/>
              </w:rPr>
              <w:br w:type="textWrapping"/>
            </w:r>
            <w:r>
              <w:rPr>
                <w:rFonts w:hint="eastAsia"/>
              </w:rPr>
              <w:t xml:space="preserve">4.个人资源 </w:t>
            </w:r>
            <w:r>
              <w:rPr>
                <w:rFonts w:hint="eastAsia"/>
              </w:rPr>
              <w:br w:type="textWrapping"/>
            </w:r>
            <w:r>
              <w:rPr>
                <w:rFonts w:hint="eastAsia"/>
              </w:rPr>
              <w:t>（1）支持教师对个人的资源进行上传、存储和管理，能实现教师在个人资源库新建文件夹储存资源，能实现教师对同步教学资源、学校校本课程资源收藏。</w:t>
            </w:r>
            <w:r>
              <w:rPr>
                <w:rFonts w:hint="eastAsia"/>
              </w:rPr>
              <w:br w:type="textWrapping"/>
            </w:r>
            <w:r>
              <w:rPr>
                <w:rFonts w:hint="eastAsia"/>
              </w:rPr>
              <w:t>（2）支持系统对教师上传的资源进行自动归类，方便教师检索，归类的类型包括：演示文稿、文本、图片、视频、音频等。</w:t>
            </w:r>
            <w:r>
              <w:rPr>
                <w:rFonts w:hint="eastAsia"/>
              </w:rPr>
              <w:br w:type="textWrapping"/>
            </w:r>
            <w:r>
              <w:rPr>
                <w:rFonts w:hint="eastAsia"/>
              </w:rPr>
              <w:t>（3）支持教师将个人上传的资源分享至校本资源库、区</w:t>
            </w:r>
            <w:r>
              <w:rPr>
                <w:rFonts w:hint="eastAsia"/>
                <w:highlight w:val="none"/>
              </w:rPr>
              <w:t>域资源库和平台资源库，经审核后进行展示。</w:t>
            </w:r>
          </w:p>
          <w:p>
            <w:pPr>
              <w:pStyle w:val="2"/>
              <w:keepNext w:val="0"/>
              <w:keepLines w:val="0"/>
              <w:pageBreakBefore w:val="0"/>
              <w:numPr>
                <w:ilvl w:val="255"/>
                <w:numId w:val="0"/>
              </w:numPr>
              <w:kinsoku/>
              <w:wordWrap/>
              <w:overflowPunct/>
              <w:topLinePunct w:val="0"/>
              <w:autoSpaceDE/>
              <w:autoSpaceDN/>
              <w:bidi w:val="0"/>
              <w:adjustRightInd/>
              <w:snapToGrid/>
              <w:spacing w:line="360" w:lineRule="auto"/>
              <w:rPr>
                <w:rFonts w:hAnsi="宋体" w:cs="宋体"/>
                <w:b/>
                <w:bCs/>
                <w:color w:val="000000"/>
                <w:szCs w:val="21"/>
                <w:highlight w:val="none"/>
                <w:lang w:bidi="ar"/>
              </w:rPr>
            </w:pPr>
            <w:r>
              <w:rPr>
                <w:rFonts w:hint="eastAsia" w:hAnsi="宋体" w:cs="宋体"/>
                <w:b/>
                <w:bCs/>
                <w:color w:val="000000"/>
                <w:szCs w:val="21"/>
                <w:highlight w:val="none"/>
                <w:lang w:bidi="ar"/>
              </w:rPr>
              <w:t>▲</w:t>
            </w:r>
            <w:r>
              <w:rPr>
                <w:rFonts w:hint="eastAsia" w:hAnsi="宋体" w:cs="宋体"/>
                <w:b/>
                <w:bCs/>
                <w:color w:val="000000"/>
                <w:szCs w:val="21"/>
                <w:highlight w:val="none"/>
                <w:lang w:val="en-US" w:eastAsia="zh-CN" w:bidi="ar"/>
              </w:rPr>
              <w:t>九</w:t>
            </w:r>
            <w:r>
              <w:rPr>
                <w:rFonts w:hint="eastAsia" w:hAnsi="宋体" w:cs="宋体"/>
                <w:b/>
                <w:bCs/>
                <w:color w:val="000000"/>
                <w:szCs w:val="21"/>
                <w:highlight w:val="none"/>
                <w:lang w:bidi="ar"/>
              </w:rPr>
              <w:t>、设备维护</w:t>
            </w:r>
            <w:r>
              <w:rPr>
                <w:rFonts w:hAnsi="宋体" w:cs="宋体"/>
                <w:b/>
                <w:bCs/>
                <w:color w:val="000000"/>
                <w:szCs w:val="21"/>
                <w:highlight w:val="none"/>
                <w:lang w:bidi="ar"/>
              </w:rPr>
              <w:t>系统</w:t>
            </w:r>
          </w:p>
          <w:p>
            <w:pPr>
              <w:pStyle w:val="2"/>
              <w:keepNext w:val="0"/>
              <w:keepLines w:val="0"/>
              <w:pageBreakBefore w:val="0"/>
              <w:numPr>
                <w:ilvl w:val="0"/>
                <w:numId w:val="0"/>
              </w:numPr>
              <w:kinsoku/>
              <w:wordWrap/>
              <w:overflowPunct/>
              <w:topLinePunct w:val="0"/>
              <w:autoSpaceDE/>
              <w:autoSpaceDN/>
              <w:bidi w:val="0"/>
              <w:adjustRightInd/>
              <w:snapToGrid/>
              <w:spacing w:line="360" w:lineRule="auto"/>
            </w:pPr>
            <w:r>
              <w:rPr>
                <w:rFonts w:hint="eastAsia" w:hAnsi="宋体" w:cs="宋体"/>
                <w:b/>
                <w:bCs/>
                <w:color w:val="000000"/>
                <w:szCs w:val="21"/>
                <w:highlight w:val="none"/>
                <w:lang w:val="en-US" w:eastAsia="zh-CN" w:bidi="ar"/>
              </w:rPr>
              <w:t>1、</w:t>
            </w:r>
            <w:r>
              <w:rPr>
                <w:rFonts w:hint="eastAsia" w:hAnsi="宋体" w:cs="宋体"/>
                <w:b/>
                <w:bCs/>
                <w:color w:val="000000"/>
                <w:szCs w:val="21"/>
                <w:highlight w:val="none"/>
                <w:lang w:bidi="ar"/>
              </w:rPr>
              <w:t>系统应</w:t>
            </w:r>
            <w:r>
              <w:rPr>
                <w:rFonts w:hint="eastAsia" w:hAnsi="宋体" w:cs="宋体"/>
                <w:szCs w:val="21"/>
                <w:highlight w:val="none"/>
                <w:lang w:bidi="ar"/>
              </w:rPr>
              <w:t>具有设备一键报修功能，当设备运行异常时，用户可选择一键报修或根据提示进行故障排查及检修。</w:t>
            </w:r>
            <w:r>
              <w:rPr>
                <w:rFonts w:hAnsi="宋体" w:cs="宋体"/>
                <w:szCs w:val="21"/>
                <w:highlight w:val="none"/>
                <w:lang w:bidi="ar"/>
              </w:rPr>
              <w:t>2、系统</w:t>
            </w:r>
            <w:r>
              <w:rPr>
                <w:rFonts w:hint="eastAsia" w:hAnsi="宋体" w:cs="宋体"/>
                <w:szCs w:val="21"/>
                <w:highlight w:val="none"/>
                <w:lang w:bidi="ar"/>
              </w:rPr>
              <w:t>应具备大数据分析功能，数据统计维度包括：设备基本信息、设备在线情况等用户数据统计分析功能。未能承诺提供管理系统的不得分。（提供软件功能截图和APP版本截图）</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组合式键盘</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1.系统采用积木式拼接结构，集导播界面显示、三维控制摇杆、切换键盘于一体，根据不同需求可灵活拼接。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便于导播控制，键盘内置≥10英寸液晶显示屏，可实时显示本地导播预监画面（拒绝采用IE远程导播方式），并实现一键式触摸控制视频切换、开始录制、停止录制、直播控制、画面布局等导播功能，可单独使用，完成导播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支持直播按键≥6个；备播按键≥6个。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支持画面布局、台标按键≥5个。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录制导播功能按键≥6个，包括：开始、暂停、停止、自/手、直播、VGA锁定等。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配有控制摇杆，可快速控制摄像机画面的上下左右、推拉摇移。并可锁定焦距防止误操作。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可通过切换杆对主备播画面进行切换。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可通过CUT切换按键进行无特效切换。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可通过TAKE切换按键进行特效切换。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支持快速调用摄像机预置位设置与调用，最高支持255个。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支持不同波特率及地址位调节，用于控制摄像机；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具备声音大小调节功能。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接口：≥2路RS232/485接口、≥1路VGA、≥3路USB接口、≥1路RJ45。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支持12v供电和USB供电系统。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为保证系统稳定性及兼容性，要求与录播一体机为同一品牌。</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高清摄像机</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1、产品定位：专业摄像机。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2、传感器尺寸 1英寸。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3、有效像素 1778万，全高清50.00p/25.00p。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4、光学变焦 15倍。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5、数字变焦 10倍。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6、实际焦距 f=24.5-367.5mm：全高清50.00p/25.00p，f=35.4-531.0mm：超高清25.00p。</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电池套装</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两电一充套装，尺寸(mm)：41.0X69.0X51.0。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摄像机储</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存卡</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容量：64G，读取速度：95MB/S，写入速度:90MB/S。</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张</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HDMI转SDI转换器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HDMI转SDI+SDI，分辨率：1920*1080@60HZ，电源：DC5V/1A。</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无线领夹</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话筒</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 接收机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工作频率：UHF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信道数量：200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调制方式：FM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频率生成方式：PLL锁相环频率合成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接收方式：超外差二次变频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导频方式：数字导频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接收灵敏度：-96dBm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音频响应：30Hz-18KHz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谐波失真：≤0.5%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音频输出方式：平衡、非平衡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音频输出阻抗：600Ω±10%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综合失真度：＜0.5% @1KHz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工作电源：DC 12V/1A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功耗：≤10W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2、发射机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工作电源：2 * AA（1.2V或1.5V）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工作频率：640-690MHz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频率稳定度：±1 ppm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最大发射功率：10dBm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调制方式：FM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频率生成方式：PLL锁相环频率合成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话筒类型：高保真动圈式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话筒灵敏度：-53dB @ 1KHz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频率响应：30Hz-18KHz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拾音极性：心型指向性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拾音方式：动圈式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工作电流：100mA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3、腰包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工作电源：两节AA电池或镍氢充电电池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电池使用时间：8小时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工作频率：640-690MHz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最大发射功率：10 dBm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音频频率响应：60 ~ 20 KHz</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虚拟微课</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主机</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硬件部分：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1、为保证系统的兼容性和拓展性，要求主机必须采用X86架构设计，不接受嵌入式架构设计方式。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2、要求CPU配置不低于intel i5十代，内存不低于8GB，显卡配置不低于gtx 1050/2GB，硬盘不低于2TB，固态硬盘不低于240GB，电源功率不低于400W。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软件部分：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1、为便于导播人员使用，导播操作界面支持外接键盘和鼠标直接操作。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为了增加导播内容和素材的丰富性，满足多路资源模式的录制，要求系统必须具备不少于6路信号源，包含1路摄像机信号、1路DDR本地视频和图片信号、1路虚拟信号，1路字幕信号，1路主背景音乐信号，1路PPT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要求DDR信号支持多种视频和图片的混合编单播出，支持入点出点的设置，DDR信号支持快慢动作播放视频，慢动作支持慢放百分比的调节，快放支持1倍速和2倍速的播放，同时DDR中播放的视频支持入点出点的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要求字幕信号同时支持三维和二维字幕，支持同时带图文效果的动态字幕、动态台标字幕、倒计时字幕、时钟字幕和跑马字幕等多种形式的字幕，支持实时修改字幕内容，多条字幕可以设置不同的层次同时播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5、▲要求系统支持虚拟抠像技术，支持不少于1路摄像机信号的虚拟抠像处理。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6、▲要求系统支持叠加真三维虚拟场景，虚拟场景支持无限蓝箱功能，可以对抠像片进行裁边和位移操作，每个虚拟场景支持8个不同的虚拟机位，虚拟机位之间支持直接切换和带轨迹的切换效果。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7、▲支持热点功能，可以在摄像机信号的抠像区域设置8个热点区域，每个区域可以设置不同的导播命令，当人物触发红外热点区域后即可以触发设置的导播命令。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8、要求系统支持不少于4路摇臂设置，每路摇臂可以通过加关键帧的方式设置不少于8个虚拟机位按照正向和反向进行机位切换，同时可以添加灯光效果，灯光效果可以跟随机位由亮到暗也可以由暗到亮。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要求系统出厂内置不少于30套不同的真三维教学虚拟场景，实时图像抠像处理并叠加真三维场景后可对三维场景中的三维物件进行隐藏、位移、旋转等操作。要求三维虚拟场景中可以添加虚拟大屏，虚拟大屏可以显示摄像机信号、PPT信号、DDR信号中的任何一路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10、要求系统支持不少于1路直播画面的录制，生成文件支持 MP4和TS格式，支持 MPEG-2 和H.264 等编码方式码率支持1Mbps 到 300Mbps 可调，可以根据录制参数自动计算可录制的时长和磁盘剩余空间。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11、要求系统支持内置多路软调音台，可对嵌入式音频、模拟音频、本地音频进行调节、支持静音、独立监听、独占输出、左右声道调节等操作；内置音频延迟器，可对音频进行延时处理。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12、要求系统支持自定义命令功能，可以将每一步导播动作录制下来，记录导播的整个切换过程，再次调用时可做到无导播操作，主持人一个人即可完成整个节目的制作过程。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13、要求系统支持直播功能，支持直播画质的选择，包括：超清、高清、标清、流畅和自定义，码率支持1-10Mbps可选，直播无需外接其他设备和平台即可实现局域网的直播。可以支持推送公网直播，设备连接网络，即可将直播画面推送至公网直播。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14、要求系统支持虚拟微课功能，可以将实时拍摄的老师画面进行抠像并与PPT画面进行组合，PPT中可以实时显示老师的批注，也可以将以上过程缩放，通过虚拟技术在画面的周围添加动态背景，还可以将整个虚拟板书微课的视频画面添加到真三维的虚拟场景中录制。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【其他要求】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标▲号项为重要参数，需有信息产业信息安全测评中心出具的检测报告为佐证，报告中需呈现相应功能（提供复印件并加盖投标人公章）。</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微课遥控器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1、连接方式：2.4G USB连接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2、协议：HID键盘协议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3、材质：ABS材质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4、支持控制虚拟微课主机录制、暂停、直播、PPT画面全屏等操作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5、支持对虚拟微课主机台标与字幕的显示控制，支持字幕的上一条、下一条切换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6、支持对虚拟微课主机DDR内容的上一条、下一条切换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7、支持背景素材DDR/PPT切换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个</w:t>
            </w:r>
          </w:p>
        </w:tc>
      </w:tr>
      <w:tr>
        <w:tblPrEx>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提词器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主要参数：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 文稿录入、编辑方便，操作简单，自动完成排版，支持txt、word等格式文本</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无需另行采购提词器电脑，可直接打开图片，word，ppt，视频，网页等文件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具有一个高速网口，支持通过有线联网安装软件，从而实现钉钉直播、微信互动等交互功能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4.拥有不少于四个usb口，支持从U盘导入演讲文档，支持利用高拍仪直接导入扫描文档，并支持鼠标键盘控制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5.无需导播间专人配合，所有操作主持人通过无线遥控即可轻松完成，并且需支持暂停、播放、加速、翻页等功能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支持usb一键升级提词器系统，体验最新功能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7.提词器文稿屏亮度为250cd/m²，拥有一个hdmi接口，可以输出提词器文稿屏画面至导播间监看，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提词器软件支持汉、藏、蒙、傣、维、朝鲜等少数民族语言。而且还支持国外的一些语言英、日、韩、德、俄、法、阿拉伯文等国家语言。自带镜像功能，视觉清晰，字迹平稳：图象鲜艳，分辨率高，字符大、亮度高、画面平滑、无抖动，操作简便,功能齐全，视距大于2.5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提词器软件支持中英文操作平台，自带镜像功能、男女播音员可分别选择不同的背景色和字色方便男女播音员选择自己的播音词，字体和字的大小任意选择，可选多种角色，以区分男角女角或更多播音角色。支持滚动速度任意调整、翻页；字号、字体任意设置，字色、背景色任意搭配等功能。软件控制方式多样化，键盘、鼠标、遥控器、脚踏板、遥控手柄均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提词器整体结构为CNC数控加工成型，强度高，坚固结实、耐磕碰、防静电.整体模块化设计,安装简单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11.摄像机承托架结构为铝材数控一次挤出成型，固定支架可前后滑动，带卡锁弹簧装置和定位固定装置摄像机滑道为航空型材滑道,轻便耐用,一体化设计,能与各种摄像机和三脚架固定使用,拆装简便.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提词器单面反光玻璃支架为铝型材数控加工支架，遮光罩为一次模压成型工程环保塑壳，重量轻，结构不变形，提词器显示屏可上下位置调整，前后滑动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 提词器三脚架：带水平调整仪和伸缩手柄,液压云台,延伸高度可调,俯仰摇移可调,平稳顺滑的操控,动态平稳,承重10Kg,含万向脚轮,带自锁。支撑高度1.2—2.2M可调节。</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返送信号处理器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1路3G/HD/SD-SDI自适应输入;1路HDMI信号输入;GPI控制信号输入;1路3G/HD/SD-SDI信号环通输出;1路处理后的HDMI信号输出;DC 12V电源供电。</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27</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液晶电视</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USB2.0接口数：2个，HDMI2.0接口数：2个，工作电压：220V，待机功率：0.5W，电源功率：130W。</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个</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28</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液晶显示器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液晶显示器屏尺寸≥23英寸/IPS屏显示器；屏幕比例：16：9；分辨率：1920 x 1080；HDMI*1，DP*1；含液晶显示器支架</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29</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电视机支架</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适用电视尺寸：32英寸；39英寸；40英寸；42英寸；43英寸；45英寸；46英寸；48英寸；49英寸；50英寸；51英寸；52英寸；55英寸；58英寸；60英寸；65英寸；70英寸。挂架材质：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冷轧钢板，适用电视孔距：600x400范围内（横向x纵向）。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无线演示器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支持电池电量指示灯，支持红光镭射指示器，支持PPT播放的开始和停止，支持PPT播放的上一页和下一页翻页。</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个</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无线键鼠套装</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支持无线连接PC并进行鼠标和键盘操作。</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HDMI分配器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输入接口：HDMI*1。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输出接口：HDMI*4。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分辨率：4K*2K@30HZ（向下兼容）。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传输距离：30米。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电源：5V/1A。</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双电机嵌入式数字遥控电动翻转LED智控灯</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输入电压：AC90-265V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额定功率：0-100w。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相关色温：5600K/3200K。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亮度调节:0—100%无极调光。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调光方式：DMX512信号/本地控制/无线遥控/APP可选。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方案设计调光方式，采用LCD液晶屏遥控器控制  。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仰俯角度：0-65°。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大屏微课专用矩形深遮光格栅灯具</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功率：100w。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色温范围：2700k--7000k可调节   。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显色指数：Ra值≥90。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TLCI(Qa)：＞90。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光源寿命：＞50000小时。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亮度调节:0—100%无极调光。</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逆向翻转超便携三脚架</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收纳高度：48cm。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最高工作高度：180cm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灯架直径：脚部2.5cm；主干3.5cm、3.0cm、2.5cm。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净重：2kg。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最大承载：10kg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材质：铝制+氧化管。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支</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便携手持调光终端</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频率：433.92M。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发射功率：10dbm。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电源：3只AA电池。</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个</w:t>
            </w:r>
          </w:p>
        </w:tc>
      </w:tr>
      <w:tr>
        <w:tblPrEx>
          <w:tblCellMar>
            <w:top w:w="0" w:type="dxa"/>
            <w:left w:w="108" w:type="dxa"/>
            <w:bottom w:w="0" w:type="dxa"/>
            <w:right w:w="108" w:type="dxa"/>
          </w:tblCellMar>
        </w:tblPrEx>
        <w:trPr>
          <w:trHeight w:val="973" w:hRule="atLeast"/>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37</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P2.0LED</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显示屏</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像素点间距：≤2.0mm，像素密度：≥250000 Dots/m2，模组尺寸320mm*160mm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2.整屏平整度：≤0.04mm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3.白平衡亮度：≥750Cd/m²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4.亮度均匀性：≥99%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5.色温：800-18000K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6.水平视角：≥170°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7.垂直视角：≥170°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8.对比度：≥9000：1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9.刷新率：≥3840Hz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10.像素失控率：&lt;1/100000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11.峰值功耗：≤300W/m²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12.平均功耗：≤120W/m²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13.▲具有列下消隐功能、倍频刷新率提升2/4/8倍、低灰偏色改善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14.色温为6500K时，100%、75%、50%、25%四档电平白场调节色温误差≤200K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15.▲PCB板材采用玻璃化温度≥150℃的覆铜板；PCB板采用FR-4材质，电路采用多层设计。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16.每个灯芯的波长误差值在±1nm以内，每个灯芯的亮度误差在5%以内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17.▲具有H2S宽动态处理技术，解决主控机二次重复播放时的衰减等现象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18.▲屏幕表面光反射率：照度=10Lux/5600K条件下，显示屏屏幕表面光反射率 （单位面积反射亮度）＜3.0cd/m²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19.▲滑石粉密度：2KG/m3网孔径75um使用次数：小于20次，实验时间8H。试验后检查样品无进尘现象。屏幕防尘等级符合IP6X（防尘）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20.使用寿命：≥100000h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21.平均无故障时间：MTBF平均无故障时间≥20000h；MTTR平均修复时间≤4分钟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22.屏幕温升：最高亮度（白平衡）持续工作4小时，模组表面温升小于20K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23.阻燃：PCB板、防火保护外壳及内部其他元器件均达到V-0等级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24.▲产品通过 GB/T9254-2008《信息技术设备的无线电骚扰限值和测量方法》试验，辐射干扰检测结果符合标准规范要求，符合ClassB限值要求。在30-230MHz频率范围内，峰值限值 dB≤41μV/m；在230-1000MHz频率范围内，峰值限值 dB≤46μV/m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25.▲所投LED显示屏产品在1×105～1×109Ω技术要求下满足点对点电阻（A面）≤2.89×108；点对点电阻（B面）≤2.43×108；并且在（±1000-±100V）≤2S的技术要求下满足静电电压衰减期值：（+V：≤0.26S，-V：≤0.32S）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26.▲所投LED显示屏的灯管耐焊耐热：灯珠引脚无氧化,焊接正常,灯珠胶体正常,点亮正常；灯管抗静电(ESD)测试：HBM模式:ESD&gt;2000V,灯珠点亮无异常；灯管红墨水试验：纯红墨水常温浸泡24h,无渗透,灯管气密性良好。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27.▲为不影响屏体周边人员的健康，要求投标人所投LED显示屏在正常工作中，显示屏1m范围内，前后左右4个位置噪音不大于1.4dB；所投LED显示屏观看舒适度需符合：“人眼视觉舒适度(VICO)1级，基本无疲劳感。</w:t>
            </w:r>
            <w:r>
              <w:rPr>
                <w:rFonts w:hint="eastAsia" w:ascii="宋体" w:hAnsi="宋体" w:cs="宋体"/>
                <w:color w:val="auto"/>
                <w:kern w:val="0"/>
                <w:szCs w:val="21"/>
                <w:lang w:bidi="ar"/>
              </w:rPr>
              <w:t>28</w:t>
            </w:r>
            <w:r>
              <w:rPr>
                <w:rFonts w:ascii="宋体" w:hAnsi="宋体" w:cs="宋体"/>
                <w:color w:val="auto"/>
                <w:kern w:val="0"/>
                <w:szCs w:val="21"/>
                <w:lang w:bidi="ar"/>
              </w:rPr>
              <w:t>.</w:t>
            </w:r>
            <w:r>
              <w:rPr>
                <w:rFonts w:hint="eastAsia"/>
                <w:color w:val="auto"/>
              </w:rPr>
              <w:t xml:space="preserve"> 大屏</w:t>
            </w:r>
            <w:r>
              <w:rPr>
                <w:rFonts w:hint="eastAsia" w:ascii="宋体" w:hAnsi="宋体" w:cs="宋体"/>
                <w:color w:val="auto"/>
                <w:kern w:val="0"/>
                <w:szCs w:val="21"/>
                <w:lang w:bidi="ar"/>
              </w:rPr>
              <w:t>尺寸5.12*2.88米，按照16:9 的比例。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【其他要求】</w:t>
            </w:r>
          </w:p>
          <w:p>
            <w:pPr>
              <w:widowControl/>
              <w:numPr>
                <w:ilvl w:val="255"/>
                <w:numId w:val="0"/>
              </w:numPr>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以上加▲技术参数需提供由权威检测机构出具带有“CNAS”、“CMA”、“ilac-MRA”标志的检测报告（提供检测报告复印件并加盖投标人公章）。</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14.74</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平方米</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38</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视频处理器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spacing w:line="360" w:lineRule="auto"/>
              <w:ind w:left="0" w:leftChars="0" w:firstLine="0" w:firstLineChars="0"/>
              <w:jc w:val="left"/>
              <w:textAlignment w:val="center"/>
            </w:pPr>
            <w:r>
              <w:rPr>
                <w:rFonts w:hint="eastAsia"/>
              </w:rPr>
              <w:t>拥有完备的视频输入接口，1 路 HDMI 2.0，4 路 DVI，1 路 3G-SDI。</w:t>
            </w:r>
            <w:r>
              <w:rPr>
                <w:rFonts w:hint="eastAsia"/>
              </w:rPr>
              <w:br w:type="textWrapping"/>
            </w:r>
            <w:r>
              <w:rPr>
                <w:rFonts w:hint="eastAsia"/>
              </w:rPr>
              <w:t>2.多输出，大带载，支持 16 路网口和 4 路光纤输出，带载高达 1040万像素。</w:t>
            </w:r>
            <w:r>
              <w:rPr>
                <w:rFonts w:hint="eastAsia"/>
              </w:rPr>
              <w:br w:type="textWrapping"/>
            </w:r>
            <w:r>
              <w:rPr>
                <w:rFonts w:hint="eastAsia"/>
              </w:rPr>
              <w:t>3.支持 HDR 输出，能够极大地增强显示屏的画质，使画面色彩更加真实生动，细节更加清晰。</w:t>
            </w:r>
            <w:r>
              <w:rPr>
                <w:rFonts w:hint="eastAsia"/>
              </w:rPr>
              <w:br w:type="textWrapping"/>
            </w:r>
            <w:r>
              <w:rPr>
                <w:rFonts w:hint="eastAsia"/>
              </w:rPr>
              <w:t>4.支持个性化的画质缩放，支持三种画面缩放模式，包括点对点模式、全屏缩放、自定义缩放。</w:t>
            </w:r>
            <w:r>
              <w:rPr>
                <w:rFonts w:hint="eastAsia"/>
              </w:rPr>
              <w:br w:type="textWrapping"/>
            </w:r>
            <w:r>
              <w:rPr>
                <w:rFonts w:hint="eastAsia"/>
              </w:rPr>
              <w:t>5.多窗口显示，支持 5 窗口任意布局。</w:t>
            </w:r>
            <w:r>
              <w:rPr>
                <w:rFonts w:hint="eastAsia"/>
              </w:rPr>
              <w:br w:type="textWrapping"/>
            </w:r>
            <w:r>
              <w:rPr>
                <w:rFonts w:hint="eastAsia"/>
              </w:rPr>
              <w:t>6.支持预监输出画面，将预监内容通过 HDMI 发送到显示器显示。</w:t>
            </w:r>
            <w:r>
              <w:rPr>
                <w:rFonts w:hint="eastAsia"/>
              </w:rPr>
              <w:br w:type="textWrapping"/>
            </w:r>
            <w:r>
              <w:rPr>
                <w:rFonts w:hint="eastAsia"/>
              </w:rPr>
              <w:t>7.支持智能控制软件进行操作控制。</w:t>
            </w:r>
            <w:r>
              <w:rPr>
                <w:rFonts w:hint="eastAsia"/>
              </w:rPr>
              <w:br w:type="textWrapping"/>
            </w:r>
            <w:r>
              <w:rPr>
                <w:rFonts w:hint="eastAsia"/>
              </w:rPr>
              <w:t>8.▲支持逐点亮色度校正技术，校正过程快速高效，支持直接现场校正；（提逐点亮色度校正证书复印件加盖投标人公章）</w:t>
            </w:r>
            <w:r>
              <w:rPr>
                <w:rFonts w:hint="eastAsia"/>
              </w:rPr>
              <w:br w:type="textWrapping"/>
            </w:r>
            <w:r>
              <w:rPr>
                <w:rFonts w:hint="eastAsia"/>
              </w:rPr>
              <w:t>9.支持场景预设，最多可创建 10 个用户场景作为模板保存，可直接调用，方便使用。</w:t>
            </w:r>
            <w:r>
              <w:rPr>
                <w:rFonts w:hint="eastAsia"/>
              </w:rPr>
              <w:br w:type="textWrapping"/>
            </w:r>
            <w:r>
              <w:rPr>
                <w:rFonts w:hint="eastAsia"/>
              </w:rPr>
              <w:t>10.支持 EDID 管理，支持用户自定义 EDID 和预设 EDID。</w:t>
            </w:r>
            <w:r>
              <w:rPr>
                <w:rFonts w:hint="eastAsia"/>
              </w:rPr>
              <w:br w:type="textWrapping"/>
            </w:r>
            <w:r>
              <w:rPr>
                <w:rFonts w:hint="eastAsia"/>
              </w:rPr>
              <w:t>11.设备可一键开启或关闭对应图层显示，提供更灵活的操作手段，增强产品实用性能。</w:t>
            </w:r>
            <w:r>
              <w:rPr>
                <w:rFonts w:hint="eastAsia"/>
              </w:rPr>
              <w:br w:type="textWrapping"/>
            </w:r>
            <w:r>
              <w:rPr>
                <w:rFonts w:hint="eastAsia"/>
              </w:rPr>
              <w:t>12.通过面板数字按键，可快速准确定义窗口大小位置等坐标信息，增强产品实用性能。</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39</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控制接收卡</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单卡最大带载 512×384像素，最多支持 24 组RGB 并行数据；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2.支持色彩管理，将显示色域在多个色域之间自由切换，使显示屏色彩更精准。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3.支持18Bit+,使LED显示屏灰阶提升4倍，有效处理低亮时灰度丢失问题，使图像显示更细腻。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4.采用 12 个标准HUB75接口，具有高稳定性和高可靠性，适用于多种环境的搭建；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5.支持逐点亮色度校正，可以对每个灯点的亮度和色度进行校正，有效消除色差，使整屏的亮度和色度达到高度均匀一致，提高显示屏的画质</w:t>
            </w:r>
          </w:p>
          <w:p>
            <w:pPr>
              <w:widowControl/>
              <w:numPr>
                <w:ilvl w:val="255"/>
                <w:numId w:val="0"/>
              </w:numPr>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6.快速亮暗线调节在调试软件上进行快速亮暗线调节，快速解决因箱体及模组拼接造成的显示屏亮暗线，调节过程中即时生效，简单易用。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7.配合支持 3D 功能的独立主控，在软件或独立主控的操作面板上开启 3D 功能，并设置 3D 参数，使画面显示 3D 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8.▲Mapping功能开启，根据走线更改连屏文件（需要提供第三方检测机构出具的CNAS、 CMA、ilac-MRA的检测报告 ，需加盖投标人公章）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9.支持预存画面设置，可以将指定图片设置为显示屏的开机、网线断开或无视频源信号时的画面或者最后一帧画面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可以监测自身的温度和电压，无需其他外设，在软件上可以查看接收卡的温度和电压，检测发送设备与接收卡间或接收卡与接收卡间的网络通讯质量，记录错误包数，协助排除网络通讯隐患，（需要提供第三方检测机构出具的CNAS、 CMA、ilac-MRA的检测报告 ，需加盖投标人公章）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11.支持误码率监测接收卡间通讯时传输链路上的数据丢包情况；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12.支持可以回读接收卡的固件程序并保存到本地，软件可以回读接收卡配置参数并保存到本地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13.通过主备冗余机制增加接收卡间网线级联的可靠性。主备级联线路中，当其中一条线路出现故障时，另一条线路会即时工作，保证显示屏正常工作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14.通过软件在接收卡上保存两份接收卡配置参数，其中一份作为备份参数，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15.通过电源指示灯和状态指示灯不同闪烁状态可以判断，屏体工作状态，无需软件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16.▲可配合多功能卡，实现当温度高于设定值时，自动断电，或打开风扇空调降低温度，保证屏体安全（需要提供第三方检测机构出具的CNAS、 CMA、ilac-MRA的检测报告 ，需加盖投标人公章）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17.▲为保证产品的智能化，需提供智能LED显示屏运行状态监控系统和监控方法相关证书复印件，加盖投标人公章；</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trHeight w:val="756" w:hRule="atLeast"/>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3D眼镜充</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电柜</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48口，定制眼镜充电柜</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配电柜</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不低于20kw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输入电压：3相380V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输出接线方式：单相，3线输出，L、N、PE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输出路数：6路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钢结构及</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包边</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1.镀锌钢材（槽钢、角铁、方通等）制作和安装，承重&gt;6Okg/㎡；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2.采用1.5mm厚304不锈钢，材料边距4cm；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3.要求1.5mm厚304不锈钢材料为哑光色。</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14.74</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平方米</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大屏集成</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辅材</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网线、排线、HDMI线及音视频线材及辅料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3D立体眼镜</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快门式立体眼镜</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45</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多媒体讲台</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1、L*W*H（mm）：1000*715*1082（±20mm） ；其中操作台面高度（mm）：850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2、钢木结合，主体采用1.0-2.0mm冷轧钢材，保证产品耐固性，棱边圆弧化设计保证安全性；桌面及背面采用18mm高密度纤维板材料，整体更加圆润、大气；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3、上层：分为显示区域和操作台面两部分；显示区域倾斜式设计，预留显示器、中控、简易按键等设备安装空间；嵌入式键盘，台面边缘处做8mm下陷处理，可防止物品跌落。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4、下层：三面拆装式设计，整体外形为喇叭式设计，呼应整体外观，独立隐藏式走线通道。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5、桌面左侧可嵌入式安装一台21.5寸的触摸显示器，显示装置仰角23°。显示器下方无缝嵌入一个物理键盘，键盘易拆卸、维修及更换；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6、桌面立面安装笔记本模块，供输入接口：USB3.0 x2、Type-C x1、HDMIx1、网线接口x1。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7、前侧立面配置两个抽屉，左侧抽屉通过机械锁手动开关，标准1U储物空间；右侧抽屉的储物空间为：185x175x60mm。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8、右侧底部配置旋转式铝合金隐藏式水杯架1套，左侧配置可回弹不锈钢挂钩1个。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可选配滑动式机柜：独立8U空间，接入第三方设备，机柜与下层主体之间用滑块式轨道连接，机柜内部配置层板均为可滑动式设计。机柜整体可滑动的距离为225mm，滑动到最内侧时机柜与下层侧板平齐，滑动到最外侧时机柜比上层凸出70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10、正面配置独立18mm厚高密度纤维板，可供学校进行LOGO定制。</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功放</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输出功率:≥330W*2； 频率响应：20Hz-20KHz(±0.3dB),转换速 度：≥30V/µs 阻尼系数：≥400:1,串 音：&gt;70dB@1KHZ,信噪比 S/N：&gt;105dB,总 谐波失真 THD+N：&lt;0.1%.1KHZ 互调失真 1 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- 46 - IMD：&lt;0.2%8Ω,1KHZ@1W,冷却方式：无级 调速风扇，气流由前至后,功放保护方式： 直流.短路.断路.过热.超低频.射频保护；</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47</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调音台</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1、麦克风输入：平衡型XLR插口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2、频响：20Hz to50 KHz±±3dB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3、失真度：&lt;0.005% to±≦4dBu,1KHz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4、增益范围：0dBa50 dB MIC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5、信噪比：&lt;-100dB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6、幻象电源：+48V幻象电源开关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7、线性输入：平衡型1/4"TRS插口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8、频响：20Hz to +50 KHz±3dB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9、灵敏度：+15dBu±3dB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10、电源主电压：100-240V~50/60Hz</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48</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8寸多功能</w:t>
            </w:r>
          </w:p>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音箱</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1、额定功率：200W(AES)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2、额定阻抗：8Ω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3、频率响应（±3dB）：75Hz-19kHz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4、灵敏度（1W/1M）：94dB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5、覆盖角：H90°×V60°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6、最大声压级：114dB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7、分频模式：两分频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8、分频点：3700Hz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9、吊挂／安装：吊挂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10、接线方式：1×NL4speakon（1+、1-）</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只</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49</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数字音频器</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1.3进6出音频处理器，基于DSP运算平台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96kHz采样率、40-bitDSP处理器、24-bitAD/DA转换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3.输入处理部分包含增益、静音、LINK、高切、低切、噪声门、8个参量均衡、31段图示均衡、相位、延时等处理单元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4.输出处理部分包含分频、9个参量均衡、增益、静音、压缩器、峰值限幅器、相位、延时、LINK等处理单元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5.三通道输入，六通道输出，所有输入输出之间可以自由进行矩阵式分配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6.所有参量均衡的频点、增益和带宽可调，其中增益步距为0.1dB，类型可选择：Peak、H-shelf、L-shelf、LP-6dB、LP-12dB、HP-6dB、HP-12dB、ALLPASS1、ALLPASS2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7.所有高切、低切滤波器、分频器的类型可选择：Butterworth、Linkwitz-Riley、Bessel，斜率在-6dB/Oct至-48dB/Oct可选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8.所有压缩/限幅器的阀值、软拐点、比率、启动时间、恢复时间连续可调，噪声门的阀值、保持时间、启动时间、恢复时间连续可调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9.所有输入输出的参数可以连动调节，输入通道和输出通道名称均可修改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10.所有延时模块都具有高达680ms的延时时间，步距0.021ms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11.任意通道之间参数设置可以自由复制，内置测试信号发生器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12.面板输入输出配有5段高精度电平指示灯，按键指引灯操作，具有密码保护功能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13.20个用户预设，1个出厂预设，整机参数和单个预设文件都可以储存到电脑上，也可以从电脑上下载和保存到机器上。机器本身也是可以存储多个预设参数，并且可以任意调用。支持中英文PC操作软件，一键式联机使用户的操作更方便快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14.可以通过USB或RS232端口控制，通过RS485方式可以实现远程定时控制及多达255台级联，也可以通过网口进行远距离的有线和无线WIFI连接</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50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无线话筒</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一、主机标准配置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1、频率范围: 740-790MHz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3、调试方式: 带宽FM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4、可调范围: 50MHz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5、信道数量: 200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6、信道间隔: 250KHz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7、频率稳定度: +0.005%以内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8、动态范围: 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9、最大频偏: ±45KHz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10、音频响应: 80Hz-18KHz (-3dB)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11、综合信噪比: &gt;105dB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12、综合失真: &lt;0.5%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13、话筒配置：含配套无线手持话筒1只；含领夹式麦克风1只；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套</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51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65寸智能交互平板</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一、整机设计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1．整体采用包边设计，表面钢化玻璃在合金边框内，四角圆弧，双重保护，安全抗冲击；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2．底部两端采用笔槽设计，支持触控笔吸附；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3．屏幕尺寸≥65英寸，支持4K显示，可开启图像降噪功能，支持切换4:3和16:9画面比例；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产品内置喇叭，采用防尘设计，功率不低于2x15W;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5．具有不少于8个前置物理按键，包含电源键、菜单、信号源、返回等；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6．产品前置Type-C接口，能承受一万次反复插拔；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7．支持单笔双色书写，一体机无需任何切换操作，一根触控笔两端触控实现两种颜色书写，颜色选择不少于十种；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8．内置独立AP热点，支持多个移动端同时连接，支持自定义设置密码；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9．具有五指熄屏功能，任意信号源下通过五指按压实现对屏幕的开关控制；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10．支持节能熄屏操作，遥控器熄屏、五指熄屏功能可以互通互用；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11．通道信号源名称支持自定义，支持中文、英文、数字、符号命名修改，方便识别；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12．具有触摸防遮挡功能，单点或者单边遮挡后可正常触控书写和操作；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13．支持左、右侧边工具栏功能，支持无操作自动隐藏，侧边栏可设置返回、主页、任务、批注、信号源等功能调用；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14．功放支持杜比音效、立体声音效，5.1声道、7.1声道，支持开启和关闭音效功能；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15．支持实时显示屏体温度，温度变化可以通过显示不同颜色进行提示；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 支持窗口一键下移功能，内置电脑、外接等多种信号源模式下实现窗口一键下移，再次点击恢复全屏显示，便于不同身高人员操作使用；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 内置安卓系统，系统版本不低于11.0，内存不低于2G,存储不低于16G,支持扩展语音识别；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 支持无PC状态下，内置互动白板支持书写及擦除，支持单点书写和多点书写切换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 支持对内置电脑进行还原操作，可通过安卓系统或遥控器对内置电脑系统进行还原。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 支持会议展板功能，快速完成欢迎界面和会议主题设置，支持不少于15种模板，欢迎文字的字体、大小、颜色可以进行编辑。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 支持会议签名功能，并可扫码带走签名及模板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 支持设置开机画面/动画，支持更换主题风格，包括会议主题、教育主题、科技主题等；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23. 支持侧边栏自定义程序应用，包括日历（查看时间和添加事件）、童锁、聚光灯、截屏（全屏和自由截屏）、幕布等功能应用；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 支持任意通道下批注，并可以设置批注颜色和画笔大小，通过二维码可以分享批注内容；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 . 任意显示通道下可以通过手势在屏幕上调取触摸菜单，菜单支持信号源通道切换、背光、声音、图像调节；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26. 整机内置非独立的高清摄像头，摄像头像素≥1300万，分辨率最高支持4160*3120，水平视角≥110°，支持数字音频MIC，支持系统调用。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27.为保护前置接口及接入的设备，具有前置挡板设计。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二、白板软件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1．白板软件可实现直接输入账号登录和扫码远程登录等快速登录方式，支持白板软件最小化；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2．工具菜单简单实用，包含录屏、思维导图、幕布、分屏、漫游等功能；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3．支持多人同时书写，互不影响，支持笔迹实现任意部分的擦除；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4．支持边写边擦，擦除过程中擦除面积随手的接触面积大小改变而改变；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5．支持将白板外的任意文件截图和截屏直接发送到白板，进行讲解和批注；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6．支持智能录制微视频和课堂内容，可以保存到本机上和一键上传云端教师空间；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7．多页面切换模式：可实现不同页面文档的快速翻页、预览，并且可以快速实现删除页面、移动页面位置。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支持多资源使用，支持云资源、教材资源、本地资源，可以软件内调用学科题库出题；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9．软件支持分学科的模式设定，每个学科的教学工具均归类在独立的学科模式中，适应教学的实际需要；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10．支持数学函数图像绘制功能，可以缩放函数图像与坐标轴，显示坐标网格，函数图生成后可重新编辑；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11．支持输入函数表达式后，即时生成函数图像，软件自带专业函数输入键盘，包含数学学科常用的各类函数符号；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12．数学学科工具，支持三角板、直尺、量角器、圆规等；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13．语文学科工具支持汉字和拼音，其中汉字支持手写识别文字，支持笔画和部首显示，支持连续和分布书写演示；拼音支持声母和韵母的插入显示；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14．英语学科工具支持四线三格、音标和字母的插入显示；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15．物理学科工具实验器皿支持小磁针、电池、小车、电厂、小球等；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16．化学学科工具支持元素周期表、化学方程式和实验器皿等；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三、同屏软件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 具备无线传屏功能，支持手机、笔记本电脑等移动端通过自动搜索接收端设备和六位识别码两种方式无线连接到一体机；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识别码支持在一体机上悬浮显示 ,并可自由拖动改变显示位置 ,支持识别码刷新时间间隔和字体大小设置；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 支持 6个投屏客户端图像画面对比展示，在一体机上可以反向控制操作笔记本电脑上的内容 ,支持单击、双击、右键控制；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支持音视频推送及管理，将手机中的音视频文件无线推送至一体机 ,并能进行播放和进行音量大小调节；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一体机显示桌面可以实时同步到手机上 ,手机上可以对一体机桌面进行放大、缩小和漫游操作 ,方便手机端对一体机进行远程控制；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支持鼠标遥控器功能 ,通过软件一键进行鼠标左键 、右键、上下滚轮滑动 、触摸板操控等功能。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四、微课软件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1.支持对音源、分辨率、录制区域进行设置。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2.支持对录制后的视频进行剪辑，并且可以添加水印。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3.剪辑功能支持添加至少25字文字水印，支持字号选择、透明度调整，支持多种颜色，水印显示位置可选择。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4.支持打开录课列表窗口，查看文件列表，在录课列表的任意目录下对文件或文件夹进行移动、删除、重命名等操作，可新建文件夹，快速搜索文件或文件夹。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5.支持将视频文件上传至云端存储；支持在上传列表查看所有上传中的文件状态，可进行暂停、开始、取消等操作。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五、教学管理软件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1.软件包含专业版和简易版两种桌面界面显示，能够相互切换，方便老师的按照个人使用习惯选择使用。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2.专业版桌面界面，至少包含云资源、资源中心、个人空间、我的电脑、设置、白板、展台、微课、传屏、互动、浏览器。简易版桌面界面，至少包含云资源、资源中心、白板、展台、微课、传屏、互动。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3.支持界面主题设置，不少于5种的主题更换，支持欢迎语设置，可自定义内容，包含字体、颜色、加粗、斜体、下划线调整。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4.支持设置开机启动的默认界面，支持设置应用栏是否隐藏，支持插入U盘时自动打开。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5.登录后支持将本机已安装的所有应用拖拽添加至桌面，方便老师快捷打开使用。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6.支持进入个人空间进行备课，支持课件资源、试题、课后任务等内容添加、上传。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7.支持打开云资源中的白板课件和使用录制的微课资源，支持浏览、下载资源中心中的丰富教学资源。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8.支持登录后直接打开应用栏中的应用，无需重复登录，便于老师教学使用。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六、OPS插拔式电脑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1．采用OPS插拔式架构，可维护、拔插式结构设计；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2．处理器配置不低于Intel Core I5十代处理器；内存不低于8G；硬盘不低于128G-SSD 固态硬盘；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3．具有独立非外扩展接口：HDMI out≥1 、Mic in≥1、 LINE-out≥1个、USB口≥6个，Rj45≥1个；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4．内置有线网卡和无线网卡。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4</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52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86寸智能交互平板</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1"/>
              </w:numPr>
              <w:spacing w:line="360" w:lineRule="auto"/>
              <w:ind w:left="0" w:leftChars="0" w:firstLine="0" w:firstLineChars="0"/>
              <w:jc w:val="left"/>
              <w:textAlignment w:val="center"/>
            </w:pPr>
            <w:r>
              <w:rPr>
                <w:rFonts w:hint="eastAsia"/>
              </w:rPr>
              <w:t>整机设计</w:t>
            </w:r>
            <w:r>
              <w:rPr>
                <w:rFonts w:hint="eastAsia"/>
              </w:rPr>
              <w:br w:type="textWrapping"/>
            </w:r>
            <w:r>
              <w:rPr>
                <w:rFonts w:hint="eastAsia"/>
              </w:rPr>
              <w:t>1．整体采用包边设计，表面钢化玻璃在合金边框内，四角圆弧，双重保护，安全抗冲击；</w:t>
            </w:r>
            <w:r>
              <w:rPr>
                <w:rFonts w:hint="eastAsia"/>
              </w:rPr>
              <w:br w:type="textWrapping"/>
            </w:r>
            <w:r>
              <w:rPr>
                <w:rFonts w:hint="eastAsia"/>
              </w:rPr>
              <w:t>2．底部两端采用笔槽设计，支持触控笔吸附；</w:t>
            </w:r>
            <w:r>
              <w:rPr>
                <w:rFonts w:hint="eastAsia"/>
              </w:rPr>
              <w:br w:type="textWrapping"/>
            </w:r>
            <w:r>
              <w:rPr>
                <w:rFonts w:hint="eastAsia"/>
              </w:rPr>
              <w:t>3．屏幕尺寸≥86英寸，支持4K显示，可开启图像降噪功能，支持切换4:3和16:9画面比例；</w:t>
            </w:r>
            <w:r>
              <w:rPr>
                <w:rFonts w:hint="eastAsia"/>
              </w:rPr>
              <w:br w:type="textWrapping"/>
            </w:r>
            <w:r>
              <w:rPr>
                <w:rFonts w:hint="eastAsia"/>
              </w:rPr>
              <w:t>4. 产品内置喇叭，采用防尘设计，功率不低于2x15W;</w:t>
            </w:r>
            <w:r>
              <w:rPr>
                <w:rFonts w:hint="eastAsia"/>
              </w:rPr>
              <w:br w:type="textWrapping"/>
            </w:r>
            <w:r>
              <w:rPr>
                <w:rFonts w:hint="eastAsia"/>
              </w:rPr>
              <w:t>5．具有不少于8个前置物理按键，包含电源键、菜单、信号源、返回等；</w:t>
            </w:r>
            <w:r>
              <w:rPr>
                <w:rFonts w:hint="eastAsia"/>
              </w:rPr>
              <w:br w:type="textWrapping"/>
            </w:r>
            <w:r>
              <w:rPr>
                <w:rFonts w:hint="eastAsia"/>
              </w:rPr>
              <w:t>▲6．产品前置Type-C接口，能承受一万次反复插拔；（须提供具有CNAS标识的检测报告复印件并加盖投标人公章）</w:t>
            </w:r>
            <w:r>
              <w:rPr>
                <w:rFonts w:hint="eastAsia"/>
              </w:rPr>
              <w:br w:type="textWrapping"/>
            </w:r>
            <w:r>
              <w:rPr>
                <w:rFonts w:hint="eastAsia"/>
              </w:rPr>
              <w:t xml:space="preserve">7．支持单笔双色书写，一体机无需任何切换操作，一根触控笔两端触控实现两种颜色书写，颜色选择不少于十种； </w:t>
            </w:r>
            <w:r>
              <w:rPr>
                <w:rFonts w:hint="eastAsia"/>
              </w:rPr>
              <w:br w:type="textWrapping"/>
            </w:r>
            <w:r>
              <w:rPr>
                <w:rFonts w:hint="eastAsia"/>
              </w:rPr>
              <w:t>8．内置独立AP热点，支持多个移动端同时连接，支持自定义设置密码；</w:t>
            </w:r>
            <w:r>
              <w:rPr>
                <w:rFonts w:hint="eastAsia"/>
              </w:rPr>
              <w:br w:type="textWrapping"/>
            </w:r>
            <w:r>
              <w:rPr>
                <w:rFonts w:hint="eastAsia"/>
              </w:rPr>
              <w:t>▲9．具有五指熄屏功能，任意信号源下通过五指按压实现对屏幕的开关控制；（须提供具有CNAS标识的检测报告复印件并加盖投标人公章）</w:t>
            </w:r>
            <w:r>
              <w:rPr>
                <w:rFonts w:hint="eastAsia"/>
              </w:rPr>
              <w:br w:type="textWrapping"/>
            </w:r>
            <w:r>
              <w:rPr>
                <w:rFonts w:hint="eastAsia"/>
              </w:rPr>
              <w:t xml:space="preserve">10．支持节能熄屏操作，遥控器熄屏、五指熄屏功能可以互通互用； </w:t>
            </w:r>
            <w:r>
              <w:rPr>
                <w:rFonts w:hint="eastAsia"/>
              </w:rPr>
              <w:br w:type="textWrapping"/>
            </w:r>
            <w:r>
              <w:rPr>
                <w:rFonts w:hint="eastAsia"/>
              </w:rPr>
              <w:t>11．通道信号源名称支持自定义，支持中文、英文、数字、符号命名修改，方便识别；</w:t>
            </w:r>
            <w:r>
              <w:rPr>
                <w:rFonts w:hint="eastAsia"/>
              </w:rPr>
              <w:br w:type="textWrapping"/>
            </w:r>
            <w:r>
              <w:rPr>
                <w:rFonts w:hint="eastAsia"/>
              </w:rPr>
              <w:t>12．具有触摸防遮挡功能，单点或者单边遮挡后可正常触控书写和操作；</w:t>
            </w:r>
            <w:r>
              <w:rPr>
                <w:rFonts w:hint="eastAsia"/>
              </w:rPr>
              <w:br w:type="textWrapping"/>
            </w:r>
            <w:r>
              <w:rPr>
                <w:rFonts w:hint="eastAsia"/>
              </w:rPr>
              <w:t>13．支持左、右侧边工具栏功能，支持无操作自动隐藏，侧边栏可设置返回、主页、任务、批注、信号源等功能调用；</w:t>
            </w:r>
            <w:r>
              <w:rPr>
                <w:rFonts w:hint="eastAsia"/>
              </w:rPr>
              <w:br w:type="textWrapping"/>
            </w:r>
            <w:r>
              <w:rPr>
                <w:rFonts w:hint="eastAsia"/>
              </w:rPr>
              <w:t>14．功放支持杜比音效、立体声音效，5.1声道、7.1声道，支持开启和关闭音效功能；</w:t>
            </w:r>
            <w:r>
              <w:rPr>
                <w:rFonts w:hint="eastAsia"/>
              </w:rPr>
              <w:br w:type="textWrapping"/>
            </w:r>
            <w:r>
              <w:rPr>
                <w:rFonts w:hint="eastAsia"/>
              </w:rPr>
              <w:t xml:space="preserve">15．支持实时显示屏体温度，温度变化可以通过显示不同颜色进行提示； </w:t>
            </w:r>
            <w:r>
              <w:rPr>
                <w:rFonts w:hint="eastAsia"/>
              </w:rPr>
              <w:br w:type="textWrapping"/>
            </w:r>
            <w:r>
              <w:rPr>
                <w:rFonts w:hint="eastAsia"/>
              </w:rPr>
              <w:t>▲16. 支持窗口一键下移功能，内置电脑、外接等多种信号源模式下实现窗口一键下移，再次点击恢复全屏显示，便于不同身高人员操作使用；（须提供具有CNAS标识的检测报告复印件并加盖投标人公章）</w:t>
            </w:r>
            <w:r>
              <w:rPr>
                <w:rFonts w:hint="eastAsia"/>
              </w:rPr>
              <w:br w:type="textWrapping"/>
            </w:r>
            <w:r>
              <w:rPr>
                <w:rFonts w:hint="eastAsia"/>
              </w:rPr>
              <w:t>▲17. 内置安卓系统，系统版本不低于11.0，内存不低于2G,存储不低于16G,支持扩展语音识别；（须提供具有CNAS标识的检测报告复印件并加盖投标人公章）</w:t>
            </w:r>
            <w:r>
              <w:rPr>
                <w:rFonts w:hint="eastAsia"/>
              </w:rPr>
              <w:br w:type="textWrapping"/>
            </w:r>
            <w:r>
              <w:rPr>
                <w:rFonts w:hint="eastAsia"/>
              </w:rPr>
              <w:t>18. 支持无PC状态下，内置互动白板支持书写及擦除，支持单点书写和多点书写切换</w:t>
            </w:r>
            <w:r>
              <w:rPr>
                <w:rFonts w:hint="eastAsia"/>
              </w:rPr>
              <w:br w:type="textWrapping"/>
            </w:r>
            <w:r>
              <w:rPr>
                <w:rFonts w:hint="eastAsia"/>
              </w:rPr>
              <w:t>19. 支持对内置电脑进行还原操作，可通过安卓系统或遥控器对内置电脑系统进行还原。</w:t>
            </w:r>
            <w:r>
              <w:rPr>
                <w:rFonts w:hint="eastAsia"/>
              </w:rPr>
              <w:br w:type="textWrapping"/>
            </w:r>
            <w:r>
              <w:rPr>
                <w:rFonts w:hint="eastAsia"/>
              </w:rPr>
              <w:t>20. 支持会议展板功能，快速完成欢迎界面和会议主题设置，支持不少于15种模板，欢迎文字的字体、大小、颜色可以进行编辑。</w:t>
            </w:r>
            <w:r>
              <w:rPr>
                <w:rFonts w:hint="eastAsia"/>
              </w:rPr>
              <w:br w:type="textWrapping"/>
            </w:r>
            <w:r>
              <w:rPr>
                <w:rFonts w:hint="eastAsia"/>
              </w:rPr>
              <w:t>21. 支持会议签名功能，并可扫码带走签名及模板</w:t>
            </w:r>
            <w:r>
              <w:rPr>
                <w:rFonts w:hint="eastAsia"/>
              </w:rPr>
              <w:br w:type="textWrapping"/>
            </w:r>
            <w:r>
              <w:rPr>
                <w:rFonts w:hint="eastAsia"/>
              </w:rPr>
              <w:t>22. 支持设置开机画面/动画，支持更换主题风格，包括会议主题、教育主题、科技主题等；</w:t>
            </w:r>
            <w:r>
              <w:rPr>
                <w:rFonts w:hint="eastAsia"/>
              </w:rPr>
              <w:br w:type="textWrapping"/>
            </w:r>
            <w:r>
              <w:rPr>
                <w:rFonts w:hint="eastAsia"/>
              </w:rPr>
              <w:t xml:space="preserve">23. 支持侧边栏自定义程序应用，包括日历（查看时间和添加事件）、童锁、聚光灯、截屏（全屏和自由截屏）、幕布等功能应用； </w:t>
            </w:r>
            <w:r>
              <w:rPr>
                <w:rFonts w:hint="eastAsia"/>
              </w:rPr>
              <w:br w:type="textWrapping"/>
            </w:r>
            <w:r>
              <w:rPr>
                <w:rFonts w:hint="eastAsia"/>
              </w:rPr>
              <w:t>24. 支持任意通道下批注，并可以设置批注颜色和画笔大小，通过二维码可以分享批注内容；</w:t>
            </w:r>
            <w:r>
              <w:rPr>
                <w:rFonts w:hint="eastAsia"/>
              </w:rPr>
              <w:br w:type="textWrapping"/>
            </w:r>
            <w:r>
              <w:rPr>
                <w:rFonts w:hint="eastAsia"/>
              </w:rPr>
              <w:t>25 . 任意显示通道下可以通过手势在屏幕上调取触摸菜单，菜单支持信号源通道切换、背光、声音、图像调节；</w:t>
            </w:r>
            <w:r>
              <w:rPr>
                <w:rFonts w:hint="eastAsia"/>
              </w:rPr>
              <w:br w:type="textWrapping"/>
            </w:r>
            <w:r>
              <w:rPr>
                <w:rFonts w:hint="eastAsia"/>
              </w:rPr>
              <w:t>▲26. 整机内置非独立的高清摄像头，摄像头像素≥1300万，分辨率最高支持4160*3120，水平视角≥110°，支持数字音频MIC，支持系统调用。（须提供具有CNAS标识的检测报告复印件并加盖投标人公章）</w:t>
            </w:r>
            <w:r>
              <w:rPr>
                <w:rFonts w:hint="eastAsia"/>
              </w:rPr>
              <w:br w:type="textWrapping"/>
            </w:r>
            <w:r>
              <w:rPr>
                <w:rFonts w:hint="eastAsia"/>
              </w:rPr>
              <w:t>27.为保护前置接口及接入的设备，具有前置挡板设计。</w:t>
            </w:r>
            <w:r>
              <w:rPr>
                <w:rFonts w:hint="eastAsia"/>
              </w:rPr>
              <w:br w:type="textWrapping"/>
            </w:r>
            <w:r>
              <w:rPr>
                <w:rFonts w:hint="eastAsia"/>
              </w:rPr>
              <w:t>二、白板软件</w:t>
            </w:r>
            <w:r>
              <w:rPr>
                <w:rFonts w:hint="eastAsia"/>
              </w:rPr>
              <w:br w:type="textWrapping"/>
            </w:r>
            <w:r>
              <w:rPr>
                <w:rFonts w:hint="eastAsia"/>
              </w:rPr>
              <w:t>1．白板软件可实现直接输入账号登录和扫码远程登录等快速登录方式，支持白板软件最小化；</w:t>
            </w:r>
            <w:r>
              <w:rPr>
                <w:rFonts w:hint="eastAsia"/>
              </w:rPr>
              <w:br w:type="textWrapping"/>
            </w:r>
            <w:r>
              <w:rPr>
                <w:rFonts w:hint="eastAsia"/>
              </w:rPr>
              <w:t>2．工具菜单简单实用，包含录屏、思维导图、幕布、分屏、漫游等功能；</w:t>
            </w:r>
            <w:r>
              <w:rPr>
                <w:rFonts w:hint="eastAsia"/>
              </w:rPr>
              <w:br w:type="textWrapping"/>
            </w:r>
            <w:r>
              <w:rPr>
                <w:rFonts w:hint="eastAsia"/>
              </w:rPr>
              <w:t>3．支持多人同时书写，互不影响，支持笔迹实现任意部分的擦除；</w:t>
            </w:r>
            <w:r>
              <w:rPr>
                <w:rFonts w:hint="eastAsia"/>
              </w:rPr>
              <w:br w:type="textWrapping"/>
            </w:r>
            <w:r>
              <w:rPr>
                <w:rFonts w:hint="eastAsia"/>
              </w:rPr>
              <w:t xml:space="preserve">4．支持边写边擦，擦除过程中擦除面积随手的接触面积大小改变而改变； </w:t>
            </w:r>
            <w:r>
              <w:rPr>
                <w:rFonts w:hint="eastAsia"/>
              </w:rPr>
              <w:br w:type="textWrapping"/>
            </w:r>
            <w:r>
              <w:rPr>
                <w:rFonts w:hint="eastAsia"/>
              </w:rPr>
              <w:t>5．支持将白板外的任意文件截图和截屏直接发送到白板，进行讲解和批注；</w:t>
            </w:r>
            <w:r>
              <w:rPr>
                <w:rFonts w:hint="eastAsia"/>
              </w:rPr>
              <w:br w:type="textWrapping"/>
            </w:r>
            <w:r>
              <w:rPr>
                <w:rFonts w:hint="eastAsia"/>
              </w:rPr>
              <w:t>6．支持智能录制微视频和课堂内容，可以保存到本机上和一键上传云端教师空间；</w:t>
            </w:r>
            <w:r>
              <w:rPr>
                <w:rFonts w:hint="eastAsia"/>
              </w:rPr>
              <w:br w:type="textWrapping"/>
            </w:r>
            <w:r>
              <w:rPr>
                <w:rFonts w:hint="eastAsia"/>
              </w:rPr>
              <w:t>7．多页面切换模式：可实现不同页面文档的快速翻页、预览，并且可以快速实现删除页面、移动页面位置。</w:t>
            </w:r>
            <w:r>
              <w:rPr>
                <w:rFonts w:hint="eastAsia"/>
              </w:rPr>
              <w:br w:type="textWrapping"/>
            </w:r>
            <w:r>
              <w:rPr>
                <w:rFonts w:hint="eastAsia"/>
              </w:rPr>
              <w:t>8. 支持多资源使用，支持云资源、教材资源、本地资源，可以软件内调用学科题库出题；</w:t>
            </w:r>
            <w:r>
              <w:rPr>
                <w:rFonts w:hint="eastAsia"/>
              </w:rPr>
              <w:br w:type="textWrapping"/>
            </w:r>
            <w:r>
              <w:rPr>
                <w:rFonts w:hint="eastAsia"/>
              </w:rPr>
              <w:t xml:space="preserve">9．软件支持分学科的模式设定，每个学科的教学工具均归类在独立的学科模式中，适应教学的实际需要； </w:t>
            </w:r>
            <w:r>
              <w:rPr>
                <w:rFonts w:hint="eastAsia"/>
              </w:rPr>
              <w:br w:type="textWrapping"/>
            </w:r>
            <w:r>
              <w:rPr>
                <w:rFonts w:hint="eastAsia"/>
              </w:rPr>
              <w:t xml:space="preserve">10．支持数学函数图像绘制功能，可以缩放函数图像与坐标轴，显示坐标网格，函数图生成后可重新编辑； </w:t>
            </w:r>
            <w:r>
              <w:rPr>
                <w:rFonts w:hint="eastAsia"/>
              </w:rPr>
              <w:br w:type="textWrapping"/>
            </w:r>
            <w:r>
              <w:rPr>
                <w:rFonts w:hint="eastAsia"/>
              </w:rPr>
              <w:t xml:space="preserve">11．支持输入函数表达式后，即时生成函数图像，软件自带专业函数输入键盘，包含数学学科常用的各类函数符号； </w:t>
            </w:r>
            <w:r>
              <w:rPr>
                <w:rFonts w:hint="eastAsia"/>
              </w:rPr>
              <w:br w:type="textWrapping"/>
            </w:r>
            <w:r>
              <w:rPr>
                <w:rFonts w:hint="eastAsia"/>
              </w:rPr>
              <w:t>12．数学学科工具，支持三角板、直尺、量角器、圆规等；</w:t>
            </w:r>
            <w:r>
              <w:rPr>
                <w:rFonts w:hint="eastAsia"/>
              </w:rPr>
              <w:br w:type="textWrapping"/>
            </w:r>
            <w:r>
              <w:rPr>
                <w:rFonts w:hint="eastAsia"/>
              </w:rPr>
              <w:t>13．语文学科工具支持汉字和拼音，其中汉字支持手写识别文字，支持笔画和部首显示，支持连续和分布书写演示；拼音支持声母和韵母的插入显示；</w:t>
            </w:r>
            <w:r>
              <w:rPr>
                <w:rFonts w:hint="eastAsia"/>
              </w:rPr>
              <w:br w:type="textWrapping"/>
            </w:r>
            <w:r>
              <w:rPr>
                <w:rFonts w:hint="eastAsia"/>
              </w:rPr>
              <w:t>14．英语学科工具支持四线三格、音标和字母的插入显示；</w:t>
            </w:r>
            <w:r>
              <w:rPr>
                <w:rFonts w:hint="eastAsia"/>
              </w:rPr>
              <w:br w:type="textWrapping"/>
            </w:r>
            <w:r>
              <w:rPr>
                <w:rFonts w:hint="eastAsia"/>
              </w:rPr>
              <w:t xml:space="preserve">15．物理学科工具实验器皿支持小磁针、电池、小车、电厂、小球等； </w:t>
            </w:r>
            <w:r>
              <w:rPr>
                <w:rFonts w:hint="eastAsia"/>
              </w:rPr>
              <w:br w:type="textWrapping"/>
            </w:r>
            <w:r>
              <w:rPr>
                <w:rFonts w:hint="eastAsia"/>
              </w:rPr>
              <w:t xml:space="preserve">16．化学学科工具支持元素周期表、化学方程式和实验器皿等； </w:t>
            </w:r>
            <w:r>
              <w:rPr>
                <w:rFonts w:hint="eastAsia"/>
              </w:rPr>
              <w:br w:type="textWrapping"/>
            </w:r>
            <w:r>
              <w:rPr>
                <w:rFonts w:hint="eastAsia"/>
              </w:rPr>
              <w:t>三、同屏软件</w:t>
            </w:r>
            <w:r>
              <w:rPr>
                <w:rFonts w:hint="eastAsia"/>
              </w:rPr>
              <w:br w:type="textWrapping"/>
            </w:r>
            <w:r>
              <w:rPr>
                <w:rFonts w:hint="eastAsia"/>
              </w:rPr>
              <w:t>▲1. 具备无线传屏功能，支持手机、笔记本电脑等移动端通过自动搜索接收端设备和六位识别码两种方式无线连接到一体机；（须提供具有CNAS标识的检测报告复印件并加盖投标人公章）</w:t>
            </w:r>
            <w:r>
              <w:rPr>
                <w:rFonts w:hint="eastAsia"/>
              </w:rPr>
              <w:br w:type="textWrapping"/>
            </w:r>
            <w:r>
              <w:rPr>
                <w:rFonts w:hint="eastAsia"/>
              </w:rPr>
              <w:t>2. 识别码支持在一体机上悬浮显示 ,并可自由拖动改变显示位置 ,支持识别码刷新时间间隔和字体大小设置；</w:t>
            </w:r>
            <w:r>
              <w:rPr>
                <w:rFonts w:hint="eastAsia"/>
              </w:rPr>
              <w:br w:type="textWrapping"/>
            </w:r>
            <w:r>
              <w:rPr>
                <w:rFonts w:hint="eastAsia"/>
              </w:rPr>
              <w:t xml:space="preserve">3. 支持 6个投屏客户端图像画面对比展示，在一体机上可以反向控制操作笔记本电脑上的内容 ,支持单击、双击、右键控制； </w:t>
            </w:r>
            <w:r>
              <w:rPr>
                <w:rFonts w:hint="eastAsia"/>
              </w:rPr>
              <w:br w:type="textWrapping"/>
            </w:r>
            <w:r>
              <w:rPr>
                <w:rFonts w:hint="eastAsia"/>
              </w:rPr>
              <w:t>▲4. 支持音视频推送及管理，将手机中的音视频文件无线推送至一体机 ,并能进行播放和进行音量大小调节；（须提供具有CNAS标识的检测报告复印件并加盖投标人公章）</w:t>
            </w:r>
            <w:r>
              <w:rPr>
                <w:rFonts w:hint="eastAsia"/>
              </w:rPr>
              <w:br w:type="textWrapping"/>
            </w:r>
            <w:r>
              <w:rPr>
                <w:rFonts w:hint="eastAsia"/>
              </w:rPr>
              <w:t>▲5. 一体机显示桌面可以实时同步到手机上 ,手机上可以对一体机桌面进行放大、缩小和漫游操作 ,方便手机端对一体机进行远程控制；（须提供具有CNAS标识的检测报告复印件并加盖投标人公章）</w:t>
            </w:r>
            <w:r>
              <w:rPr>
                <w:rFonts w:hint="eastAsia"/>
              </w:rPr>
              <w:br w:type="textWrapping"/>
            </w:r>
            <w:r>
              <w:rPr>
                <w:rFonts w:hint="eastAsia"/>
              </w:rPr>
              <w:t>6. 支持鼠标遥控器功能 ,通过软件一键进行鼠标左键 、右键、上下滚轮滑动 、触摸板操控等功能。</w:t>
            </w:r>
            <w:r>
              <w:rPr>
                <w:rFonts w:hint="eastAsia"/>
              </w:rPr>
              <w:br w:type="textWrapping"/>
            </w:r>
            <w:r>
              <w:rPr>
                <w:rFonts w:hint="eastAsia"/>
              </w:rPr>
              <w:t>四、微课软件</w:t>
            </w:r>
            <w:r>
              <w:rPr>
                <w:rFonts w:hint="eastAsia"/>
              </w:rPr>
              <w:br w:type="textWrapping"/>
            </w:r>
            <w:r>
              <w:rPr>
                <w:rFonts w:hint="eastAsia"/>
              </w:rPr>
              <w:t>1.支持对音源、分辨率、录制区域进行设置。</w:t>
            </w:r>
            <w:r>
              <w:rPr>
                <w:rFonts w:hint="eastAsia"/>
              </w:rPr>
              <w:br w:type="textWrapping"/>
            </w:r>
            <w:r>
              <w:rPr>
                <w:rFonts w:hint="eastAsia"/>
              </w:rPr>
              <w:t>2.支持对录制后的视频进行剪辑，并且可以添加水印。</w:t>
            </w:r>
            <w:r>
              <w:rPr>
                <w:rFonts w:hint="eastAsia"/>
              </w:rPr>
              <w:br w:type="textWrapping"/>
            </w:r>
            <w:r>
              <w:rPr>
                <w:rFonts w:hint="eastAsia"/>
              </w:rPr>
              <w:t>3.剪辑功能支持添加至少25字文字水印，支持字号选择、透明度调整，支持多种颜色，水印显示位置可选择。</w:t>
            </w:r>
            <w:r>
              <w:rPr>
                <w:rFonts w:hint="eastAsia"/>
              </w:rPr>
              <w:br w:type="textWrapping"/>
            </w:r>
            <w:r>
              <w:rPr>
                <w:rFonts w:hint="eastAsia"/>
              </w:rPr>
              <w:t>4.支持打开录课列表窗口，查看文件列表，在录课列表的任意目录下对文件或文件夹进行移动、删除、重命名等操作，可新建文件夹，快速搜索文件或文件夹。</w:t>
            </w:r>
            <w:r>
              <w:rPr>
                <w:rFonts w:hint="eastAsia"/>
              </w:rPr>
              <w:br w:type="textWrapping"/>
            </w:r>
            <w:r>
              <w:rPr>
                <w:rFonts w:hint="eastAsia"/>
              </w:rPr>
              <w:t>5.支持将视频文件上传至云端存储；支持在上传列表查看所有上传中的文件状态，可进行暂停、开始、取消等操作。</w:t>
            </w:r>
            <w:r>
              <w:rPr>
                <w:rFonts w:hint="eastAsia"/>
              </w:rPr>
              <w:br w:type="textWrapping"/>
            </w:r>
            <w:r>
              <w:rPr>
                <w:rFonts w:hint="eastAsia"/>
              </w:rPr>
              <w:t>6.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rPr>
              <w:br w:type="textWrapping"/>
            </w:r>
            <w:r>
              <w:rPr>
                <w:rFonts w:hint="eastAsia"/>
              </w:rPr>
              <w:t>五、教学管理软件</w:t>
            </w:r>
            <w:r>
              <w:rPr>
                <w:rFonts w:hint="eastAsia"/>
              </w:rPr>
              <w:br w:type="textWrapping"/>
            </w:r>
            <w:r>
              <w:rPr>
                <w:rFonts w:hint="eastAsia"/>
              </w:rPr>
              <w:t>1.软件包含专业版和简易版两种桌面界面显示，能够相互切换，方便老师的按照个人使用习惯选择使用。</w:t>
            </w:r>
            <w:r>
              <w:rPr>
                <w:rFonts w:hint="eastAsia"/>
              </w:rPr>
              <w:br w:type="textWrapping"/>
            </w:r>
            <w:r>
              <w:rPr>
                <w:rFonts w:hint="eastAsia"/>
              </w:rPr>
              <w:t>2.专业版桌面界面，至少包含云资源、资源中心、个人空间、我的电脑、设置、白板、展台、微课、传屏、互动、浏览器。简易版桌面界面，至少包含云资源、资源中心、白板、展台、微课、传屏、互动。</w:t>
            </w:r>
            <w:r>
              <w:rPr>
                <w:rFonts w:hint="eastAsia"/>
              </w:rPr>
              <w:br w:type="textWrapping"/>
            </w:r>
            <w:r>
              <w:rPr>
                <w:rFonts w:hint="eastAsia"/>
              </w:rPr>
              <w:t>3.支持界面主题设置，不少于5种的主题更换，支持欢迎语设置，可自定义内容，包含字体、颜色、加粗、斜体、下划线调整。</w:t>
            </w:r>
            <w:r>
              <w:rPr>
                <w:rFonts w:hint="eastAsia"/>
              </w:rPr>
              <w:br w:type="textWrapping"/>
            </w:r>
            <w:r>
              <w:rPr>
                <w:rFonts w:hint="eastAsia"/>
              </w:rPr>
              <w:t>4.支持设置开机启动的默认界面，支持设置应用栏是否隐藏，支持插入U盘时自动打开。</w:t>
            </w:r>
            <w:r>
              <w:rPr>
                <w:rFonts w:hint="eastAsia"/>
              </w:rPr>
              <w:br w:type="textWrapping"/>
            </w:r>
            <w:r>
              <w:rPr>
                <w:rFonts w:hint="eastAsia"/>
              </w:rPr>
              <w:t>5.登录后支持将本机已安装的所有应用拖拽添加至桌面，方便老师快捷打开使用。</w:t>
            </w:r>
            <w:r>
              <w:rPr>
                <w:rFonts w:hint="eastAsia"/>
              </w:rPr>
              <w:br w:type="textWrapping"/>
            </w:r>
            <w:r>
              <w:rPr>
                <w:rFonts w:hint="eastAsia"/>
              </w:rPr>
              <w:t>6.支持进入个人空间进行备课，支持课件资源、试题、课后任务等内容添加、上传。</w:t>
            </w:r>
            <w:r>
              <w:rPr>
                <w:rFonts w:hint="eastAsia"/>
              </w:rPr>
              <w:br w:type="textWrapping"/>
            </w:r>
            <w:r>
              <w:rPr>
                <w:rFonts w:hint="eastAsia"/>
              </w:rPr>
              <w:t>7.支持打开云资源中的白板课件和使用录制的微课资源，支持浏览、下载资源中心中的丰富教学资源。</w:t>
            </w:r>
            <w:r>
              <w:rPr>
                <w:rFonts w:hint="eastAsia"/>
              </w:rPr>
              <w:br w:type="textWrapping"/>
            </w:r>
            <w:r>
              <w:rPr>
                <w:rFonts w:hint="eastAsia"/>
              </w:rPr>
              <w:t>8.支持登录后直接打开应用栏中的应用，无需重复登录，便于老师教学使用。</w:t>
            </w:r>
            <w:r>
              <w:rPr>
                <w:rFonts w:hint="eastAsia"/>
              </w:rPr>
              <w:br w:type="textWrapping"/>
            </w:r>
            <w:r>
              <w:rPr>
                <w:rFonts w:hint="eastAsia"/>
              </w:rPr>
              <w:t>六、OPS插拔式电脑</w:t>
            </w:r>
            <w:r>
              <w:rPr>
                <w:rFonts w:hint="eastAsia"/>
              </w:rPr>
              <w:br w:type="textWrapping"/>
            </w:r>
            <w:r>
              <w:rPr>
                <w:rFonts w:hint="eastAsia"/>
              </w:rPr>
              <w:t>1．采用OPS插拔式架构，可维护、拔插式结构设计；</w:t>
            </w:r>
            <w:r>
              <w:rPr>
                <w:rFonts w:hint="eastAsia"/>
              </w:rPr>
              <w:br w:type="textWrapping"/>
            </w:r>
            <w:r>
              <w:rPr>
                <w:rFonts w:hint="eastAsia"/>
              </w:rPr>
              <w:t>2．处理器配置不低于Intel Core I5十代处理器；内存不低于8G；硬盘不低于256G-SSD 固态硬盘；</w:t>
            </w:r>
            <w:r>
              <w:rPr>
                <w:rFonts w:hint="eastAsia"/>
              </w:rPr>
              <w:br w:type="textWrapping"/>
            </w:r>
            <w:r>
              <w:rPr>
                <w:rFonts w:hint="eastAsia"/>
              </w:rPr>
              <w:t>3．具有独立非外扩展接口：HDMI out≥1 、Mic in≥1、 LINE-out≥1个、USB口≥6个，Rj45≥1个；</w:t>
            </w:r>
            <w:r>
              <w:rPr>
                <w:rFonts w:hint="eastAsia"/>
              </w:rPr>
              <w:br w:type="textWrapping"/>
            </w:r>
            <w:r>
              <w:rPr>
                <w:rFonts w:hint="eastAsia"/>
              </w:rPr>
              <w:t>4．内置有线网卡和无线网卡。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53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梯形桌</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2"/>
              </w:numPr>
              <w:spacing w:line="360" w:lineRule="auto"/>
              <w:jc w:val="left"/>
              <w:textAlignment w:val="center"/>
            </w:pPr>
            <w:r>
              <w:rPr>
                <w:rFonts w:hint="eastAsia"/>
              </w:rPr>
              <w:t>桌子长宽高尺寸1000*600*750mm</w:t>
            </w:r>
          </w:p>
          <w:p>
            <w:pPr>
              <w:widowControl/>
              <w:numPr>
                <w:ilvl w:val="0"/>
                <w:numId w:val="12"/>
              </w:numPr>
              <w:spacing w:line="360" w:lineRule="auto"/>
              <w:jc w:val="left"/>
              <w:textAlignment w:val="center"/>
            </w:pPr>
            <w:r>
              <w:rPr>
                <w:rFonts w:hint="eastAsia"/>
              </w:rPr>
              <w:t>桌面：E1级高密度板台面，厚度为25MM，内材经过防虫、防腐的化学处理，强度高、钢性好、不变形、比重合理；封边：PVC胶边；游离甲醛释放量优于国家标准，密度≥750公斤/立方米，游离甲醛含量≤8mg/100g。</w:t>
            </w:r>
            <w:r>
              <w:rPr>
                <w:rFonts w:hint="eastAsia"/>
              </w:rPr>
              <w:br w:type="textWrapping"/>
            </w:r>
            <w:r>
              <w:rPr>
                <w:rFonts w:hint="eastAsia"/>
              </w:rPr>
              <w:t>3.桌架：1.5mm厚蛋管冷轧钢立柱，1.2mm冷轧钢横梁，书网：材料为0.8mm冷轧钢架，材料表面经过防腐氧化处理和纯环氧树脂塑粉高温固化处理，具有较强的耐蚀性及承重性；</w:t>
            </w:r>
            <w:r>
              <w:rPr>
                <w:rFonts w:hint="eastAsia"/>
              </w:rPr>
              <w:br w:type="textWrapping"/>
            </w:r>
            <w:r>
              <w:rPr>
                <w:rFonts w:hint="eastAsia"/>
              </w:rPr>
              <w:t>4.挡板：挡板E1级高密度板采用12MM，内材经过防虫、防腐的化学处理，强度高、钢性好、不变形、比重合理；封边：PVC胶边；游离甲醛释放量优于国家标准，密度≥750公斤/立方米，游离甲醛含量≤8mg/100g。</w:t>
            </w:r>
            <w:r>
              <w:rPr>
                <w:rFonts w:hint="eastAsia"/>
              </w:rPr>
              <w:br w:type="textWrapping"/>
            </w:r>
            <w:r>
              <w:rPr>
                <w:rFonts w:hint="eastAsia"/>
              </w:rPr>
              <w:t>5.脚轮：可调节高低，两个带刹车轮，两个不带刹车，方便用户随时调节桌面平整；</w:t>
            </w:r>
            <w:r>
              <w:rPr>
                <w:rFonts w:hint="eastAsia"/>
              </w:rPr>
              <w:br w:type="textWrapping"/>
            </w:r>
            <w:r>
              <w:rPr>
                <w:rFonts w:hint="eastAsia"/>
              </w:rPr>
              <w:t>6.折叠：整个桌子可90度折叠，节省空间。简易便捷的多功能翻转桌，能够快速侧翻桌面，可快速组合，解决了占地面积，又可因空间需求来堆叠或者展开;</w:t>
            </w:r>
            <w:r>
              <w:rPr>
                <w:rFonts w:hint="eastAsia"/>
              </w:rPr>
              <w:br w:type="textWrapping"/>
            </w:r>
            <w:r>
              <w:rPr>
                <w:rFonts w:hint="eastAsia"/>
              </w:rPr>
              <w:t>7.木板颜色：多色可选或提供样品色定制；</w:t>
            </w:r>
            <w:r>
              <w:rPr>
                <w:rFonts w:hint="eastAsia"/>
              </w:rPr>
              <w:br w:type="textWrapping"/>
            </w:r>
            <w:r>
              <w:rPr>
                <w:rFonts w:hint="eastAsia"/>
              </w:rPr>
              <w:t xml:space="preserve">8.平衡码：选配，1）可固定拼接、整体移动，2）可固定桌面平整；                                                                                          </w:t>
            </w:r>
            <w:r>
              <w:rPr>
                <w:rFonts w:hint="eastAsia"/>
              </w:rPr>
              <w:br w:type="textWrapping"/>
            </w:r>
            <w:r>
              <w:rPr>
                <w:rFonts w:hint="eastAsia"/>
              </w:rPr>
              <w:t>采用压铸锌合金制造，表面是防腐的镀镍处理，旋转开关设计简单方便。内部设有滑道。装饰件：ABS材质。</w:t>
            </w:r>
            <w:r>
              <w:rPr>
                <w:rFonts w:hint="eastAsia"/>
              </w:rPr>
              <w:br w:type="textWrapping"/>
            </w:r>
            <w:r>
              <w:rPr>
                <w:rFonts w:hint="eastAsia"/>
              </w:rPr>
              <w:t>9.采用人体工程理念及个性化需求，整件产品拼接好，接缝齐整，整体颜色基本相符，过渡自然；台架有旋转折叠装置，脚轮采用的2.5” PU万向脚轮带刹车，造型美观大方，有现代特色。</w:t>
            </w:r>
          </w:p>
          <w:p>
            <w:pPr>
              <w:pStyle w:val="2"/>
              <w:ind w:left="0" w:leftChars="0" w:firstLine="0" w:firstLineChars="0"/>
            </w:pPr>
            <w:r>
              <w:rPr>
                <w:rFonts w:hint="eastAsia"/>
              </w:rPr>
              <w:t>样图：款式如下，颜色待选。</w:t>
            </w:r>
          </w:p>
          <w:p>
            <w:pPr>
              <w:widowControl/>
              <w:numPr>
                <w:ilvl w:val="255"/>
                <w:numId w:val="0"/>
              </w:numPr>
              <w:spacing w:line="360" w:lineRule="auto"/>
              <w:jc w:val="left"/>
              <w:textAlignment w:val="center"/>
            </w:pPr>
            <w:r>
              <w:drawing>
                <wp:inline distT="0" distB="0" distL="114300" distR="114300">
                  <wp:extent cx="2320925" cy="1546860"/>
                  <wp:effectExtent l="0" t="0" r="3175" b="15240"/>
                  <wp:docPr id="2" name="图片 2" descr="折叠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折叠桌"/>
                          <pic:cNvPicPr>
                            <a:picLocks noChangeAspect="1"/>
                          </pic:cNvPicPr>
                        </pic:nvPicPr>
                        <pic:blipFill>
                          <a:blip r:embed="rId16"/>
                          <a:stretch>
                            <a:fillRect/>
                          </a:stretch>
                        </pic:blipFill>
                        <pic:spPr>
                          <a:xfrm>
                            <a:off x="0" y="0"/>
                            <a:ext cx="2320925" cy="1546860"/>
                          </a:xfrm>
                          <a:prstGeom prst="rect">
                            <a:avLst/>
                          </a:prstGeom>
                        </pic:spPr>
                      </pic:pic>
                    </a:graphicData>
                  </a:graphic>
                </wp:inline>
              </w:drawing>
            </w:r>
          </w:p>
          <w:p>
            <w:pPr>
              <w:pStyle w:val="2"/>
              <w:numPr>
                <w:ilvl w:val="255"/>
                <w:numId w:val="0"/>
              </w:num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21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张</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54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椅子（含写字板）</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pPr>
            <w:r>
              <w:rPr>
                <w:rFonts w:hint="eastAsia"/>
              </w:rPr>
              <w:t>1.椅子（含椅背）高850mm，宽450mm</w:t>
            </w:r>
          </w:p>
          <w:p>
            <w:pPr>
              <w:widowControl/>
              <w:spacing w:line="360" w:lineRule="auto"/>
              <w:jc w:val="left"/>
              <w:textAlignment w:val="center"/>
            </w:pPr>
            <w:r>
              <w:rPr>
                <w:rFonts w:hint="eastAsia"/>
              </w:rPr>
              <w:t>2.架子采用18×32mm异型扁管喷涂，烤漆后厚度1.5mm，实际铁管厚度1.3mm，</w:t>
            </w:r>
            <w:r>
              <w:rPr>
                <w:rFonts w:hint="eastAsia"/>
              </w:rPr>
              <w:br w:type="textWrapping"/>
            </w:r>
            <w:r>
              <w:rPr>
                <w:rFonts w:hint="eastAsia"/>
              </w:rPr>
              <w:t>3.背板采用尼龙塑料加网布进口特网靠背，靠背连接件为工程塑料ABS坐板采用定型海绵加耐污弹力布饰面。坐板可翻起来，超节约空间，便于收纳，可联排、简约时尚。</w:t>
            </w:r>
          </w:p>
          <w:p>
            <w:pPr>
              <w:pStyle w:val="2"/>
              <w:ind w:left="0" w:leftChars="0" w:firstLine="0" w:firstLineChars="0"/>
            </w:pPr>
            <w:r>
              <w:rPr>
                <w:rFonts w:hint="eastAsia"/>
              </w:rPr>
              <w:t>样图：款式如下，颜色待选。</w:t>
            </w:r>
          </w:p>
          <w:p>
            <w:pPr>
              <w:pStyle w:val="2"/>
              <w:ind w:left="0" w:leftChars="0" w:firstLine="0" w:firstLineChars="0"/>
            </w:pPr>
            <w:r>
              <w:drawing>
                <wp:inline distT="0" distB="0" distL="114300" distR="114300">
                  <wp:extent cx="2028190" cy="2044700"/>
                  <wp:effectExtent l="0" t="0" r="10160" b="12700"/>
                  <wp:docPr id="5" name="图片 5" descr="椅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椅子"/>
                          <pic:cNvPicPr>
                            <a:picLocks noChangeAspect="1"/>
                          </pic:cNvPicPr>
                        </pic:nvPicPr>
                        <pic:blipFill>
                          <a:blip r:embed="rId17"/>
                          <a:stretch>
                            <a:fillRect/>
                          </a:stretch>
                        </pic:blipFill>
                        <pic:spPr>
                          <a:xfrm>
                            <a:off x="0" y="0"/>
                            <a:ext cx="2028190" cy="2044700"/>
                          </a:xfrm>
                          <a:prstGeom prst="rect">
                            <a:avLst/>
                          </a:prstGeom>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62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把</w:t>
            </w:r>
          </w:p>
        </w:tc>
      </w:tr>
      <w:tr>
        <w:tblPrEx>
          <w:tblCellMar>
            <w:top w:w="0" w:type="dxa"/>
            <w:left w:w="108" w:type="dxa"/>
            <w:bottom w:w="0" w:type="dxa"/>
            <w:right w:w="108" w:type="dxa"/>
          </w:tblCellMar>
        </w:tblPrEx>
        <w:trPr>
          <w:jc w:val="center"/>
        </w:trPr>
        <w:tc>
          <w:tcPr>
            <w:tcW w:w="11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55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笔记本充电柜</w:t>
            </w:r>
          </w:p>
        </w:tc>
        <w:tc>
          <w:tcPr>
            <w:tcW w:w="5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1、材质：主体采用冷轧钢喷涂，全部通过酸洗磷化喷涂后再进行高温烘烤，有效防锈，产品喷涂工艺符合GB22374-2008 涂装材料标准，并提供国家级检测机构出具的防静电检测报告；内置开模的ABS塑料隔板，支撑充电设备的放置，隔离充电设备，确保单独的充电空间，有效确保充电安全；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2、外观：柜体边角采用光滑的圆弧设计，防撞防冲击，使用更安全；顶部左侧内嵌式一体防静电ABS推拉把手，底部采用4寸万向静音脚轮，便于移动。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（1）输入功率：AC110-250V，50/60hz，10A；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（2）输出功率： AC110-250V，50/60hz，10A；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（3）保护机制：带电流40A漏电保护；可以保护充电设备的充电安全；同时充电设备单独充电空间，充电更安全；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（4）48位充电接口；并具有数字指示标记，使用更方便；同时具备多种充电排插标准的选择，可选配欧标，英标等相关标准的排插和电源线；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前柜门可以270度打开，单向开门，方便用户的充电使用；同时带密码锁，具有防盗功能，确保用户充电设备的安全；后柜门采用卡扣式可拆卸结构，同时配有安全锁，方便用户的后期维护，同时又保障了产品的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（6）柜体面板多处设计花纹镂空，方便充电设备的散热，同时有利于观察充电设备的充电状态，且具有一定的美观性；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（7）充电笔记本尺寸：最大支持16寸笔记本（最大笔记本尺寸：370*260*40mm）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（8）可选配电源管理器；可对充电设备的上电，充电功率，充电的顺序等进行管理，确保充电的安全；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（9）可选配排风扇：加强充电柜的散热功能，让充电更安全；</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台</w:t>
            </w:r>
          </w:p>
        </w:tc>
      </w:tr>
    </w:tbl>
    <w:p>
      <w:pPr>
        <w:spacing w:line="360" w:lineRule="auto"/>
        <w:ind w:firstLine="422" w:firstLineChars="200"/>
        <w:jc w:val="left"/>
        <w:rPr>
          <w:rFonts w:ascii="宋体" w:hAnsi="宋体" w:cs="宋体"/>
          <w:b/>
          <w:szCs w:val="21"/>
        </w:rPr>
      </w:pPr>
      <w:r>
        <w:rPr>
          <w:rFonts w:hint="eastAsia" w:ascii="宋体" w:hAnsi="宋体" w:cs="宋体"/>
          <w:b/>
          <w:szCs w:val="21"/>
        </w:rPr>
        <w:t>四、售后及服务要求</w:t>
      </w:r>
    </w:p>
    <w:p>
      <w:pPr>
        <w:spacing w:line="360" w:lineRule="auto"/>
        <w:ind w:firstLine="420" w:firstLineChars="200"/>
        <w:jc w:val="left"/>
        <w:rPr>
          <w:rFonts w:ascii="宋体" w:hAnsi="宋体" w:cs="宋体"/>
          <w:bCs/>
          <w:szCs w:val="21"/>
        </w:rPr>
      </w:pPr>
      <w:r>
        <w:rPr>
          <w:rFonts w:hint="eastAsia" w:ascii="宋体" w:hAnsi="宋体" w:cs="宋体"/>
          <w:bCs/>
          <w:szCs w:val="21"/>
        </w:rPr>
        <w:t>（1）投标人按采购文件的要求对数字文旅实训室设备</w:t>
      </w:r>
      <w:r>
        <w:rPr>
          <w:rFonts w:hint="eastAsia" w:ascii="宋体" w:hAnsi="宋体" w:cs="宋体"/>
        </w:rPr>
        <w:t>的采购。</w:t>
      </w:r>
    </w:p>
    <w:p>
      <w:pPr>
        <w:spacing w:line="360" w:lineRule="auto"/>
        <w:ind w:firstLine="420" w:firstLineChars="200"/>
        <w:jc w:val="left"/>
        <w:rPr>
          <w:rFonts w:ascii="宋体" w:hAnsi="宋体" w:cs="宋体"/>
          <w:bCs/>
          <w:szCs w:val="21"/>
        </w:rPr>
      </w:pPr>
      <w:r>
        <w:rPr>
          <w:rFonts w:hint="eastAsia" w:ascii="宋体" w:hAnsi="宋体" w:cs="宋体"/>
          <w:bCs/>
          <w:szCs w:val="21"/>
        </w:rPr>
        <w:t>（2）</w:t>
      </w:r>
      <w:r>
        <w:rPr>
          <w:rFonts w:hint="eastAsia" w:ascii="宋体" w:hAnsi="宋体" w:cs="Arial"/>
          <w:bCs/>
          <w:kern w:val="0"/>
          <w:szCs w:val="21"/>
        </w:rPr>
        <w:t>自合同签订之日后40日历日</w:t>
      </w:r>
      <w:r>
        <w:rPr>
          <w:rFonts w:hint="eastAsia" w:ascii="宋体" w:hAnsi="宋体" w:cs="Arial"/>
          <w:bCs/>
          <w:kern w:val="0"/>
          <w:szCs w:val="21"/>
          <w:lang w:val="en-US" w:eastAsia="zh-CN"/>
        </w:rPr>
        <w:t>内</w:t>
      </w:r>
      <w:r>
        <w:rPr>
          <w:rFonts w:hint="eastAsia" w:ascii="宋体" w:hAnsi="宋体" w:cs="Arial"/>
          <w:bCs/>
          <w:kern w:val="0"/>
          <w:szCs w:val="21"/>
        </w:rPr>
        <w:t>完成</w:t>
      </w:r>
      <w:r>
        <w:rPr>
          <w:rFonts w:hint="eastAsia" w:ascii="宋体" w:hAnsi="宋体" w:cs="Arial"/>
          <w:bCs/>
          <w:kern w:val="0"/>
          <w:szCs w:val="21"/>
          <w:lang w:val="en-US" w:eastAsia="zh-CN"/>
        </w:rPr>
        <w:t>设备</w:t>
      </w:r>
      <w:r>
        <w:rPr>
          <w:rFonts w:hint="eastAsia" w:ascii="宋体" w:hAnsi="宋体" w:cs="Arial"/>
          <w:bCs/>
          <w:kern w:val="0"/>
          <w:szCs w:val="21"/>
        </w:rPr>
        <w:t>全部安装调试。</w:t>
      </w:r>
    </w:p>
    <w:p>
      <w:pPr>
        <w:spacing w:line="360" w:lineRule="auto"/>
        <w:ind w:firstLine="420" w:firstLineChars="200"/>
        <w:jc w:val="left"/>
        <w:rPr>
          <w:rFonts w:ascii="宋体" w:hAnsi="宋体" w:cs="宋体"/>
          <w:bCs/>
          <w:szCs w:val="21"/>
        </w:rPr>
      </w:pPr>
      <w:r>
        <w:rPr>
          <w:rFonts w:hint="eastAsia" w:ascii="宋体" w:hAnsi="宋体" w:cs="宋体"/>
          <w:bCs/>
          <w:szCs w:val="21"/>
        </w:rPr>
        <w:t>（</w:t>
      </w:r>
      <w:r>
        <w:rPr>
          <w:rFonts w:ascii="宋体" w:hAnsi="宋体" w:cs="宋体"/>
          <w:bCs/>
          <w:szCs w:val="21"/>
        </w:rPr>
        <w:t>3）质保期：终验合格后，提供</w:t>
      </w:r>
      <w:r>
        <w:rPr>
          <w:rFonts w:hint="eastAsia"/>
        </w:rPr>
        <w:t>三年免费维护</w:t>
      </w:r>
      <w:r>
        <w:rPr>
          <w:rFonts w:hint="eastAsia" w:ascii="宋体" w:hAnsi="宋体" w:cs="宋体"/>
          <w:bCs/>
          <w:szCs w:val="21"/>
        </w:rPr>
        <w:t>、免费培训及咨询服务，免费提供操作说明书及相关技术资料。</w:t>
      </w:r>
    </w:p>
    <w:p>
      <w:pPr>
        <w:spacing w:line="360" w:lineRule="auto"/>
        <w:ind w:firstLine="420" w:firstLineChars="200"/>
        <w:jc w:val="left"/>
        <w:rPr>
          <w:rFonts w:ascii="宋体" w:hAnsi="宋体" w:cs="宋体"/>
          <w:bCs/>
          <w:szCs w:val="21"/>
        </w:rPr>
      </w:pPr>
      <w:r>
        <w:rPr>
          <w:rFonts w:hint="eastAsia" w:ascii="宋体" w:hAnsi="宋体" w:cs="宋体"/>
          <w:bCs/>
          <w:szCs w:val="21"/>
        </w:rPr>
        <w:t>（4）终验标准及方式</w:t>
      </w:r>
    </w:p>
    <w:p>
      <w:pPr>
        <w:spacing w:line="360" w:lineRule="auto"/>
        <w:ind w:firstLine="420" w:firstLineChars="200"/>
        <w:jc w:val="left"/>
        <w:rPr>
          <w:rFonts w:ascii="宋体" w:hAnsi="宋体" w:cs="宋体"/>
          <w:bCs/>
          <w:szCs w:val="21"/>
        </w:rPr>
      </w:pPr>
      <w:r>
        <w:rPr>
          <w:rFonts w:hint="eastAsia" w:ascii="宋体" w:hAnsi="宋体" w:cs="宋体"/>
          <w:bCs/>
          <w:szCs w:val="21"/>
        </w:rPr>
        <w:t>A.按照采购人相关规定组织验收。</w:t>
      </w:r>
    </w:p>
    <w:p>
      <w:pPr>
        <w:spacing w:line="360" w:lineRule="auto"/>
        <w:ind w:firstLine="420" w:firstLineChars="200"/>
        <w:jc w:val="left"/>
        <w:rPr>
          <w:rFonts w:ascii="宋体" w:hAnsi="宋体" w:cs="宋体"/>
          <w:bCs/>
        </w:rPr>
      </w:pPr>
      <w:r>
        <w:rPr>
          <w:rFonts w:hint="eastAsia" w:ascii="宋体" w:hAnsi="宋体" w:cs="宋体"/>
          <w:bCs/>
          <w:szCs w:val="21"/>
        </w:rPr>
        <w:t>B.所采购产品严格按照招投标文件及合同要求参数进行验收，同时满足国家相关规范、规定要求。</w:t>
      </w:r>
    </w:p>
    <w:p>
      <w:pPr>
        <w:pStyle w:val="192"/>
        <w:spacing w:line="360" w:lineRule="auto"/>
        <w:rPr>
          <w:rFonts w:ascii="宋体" w:hAnsi="宋体" w:cs="宋体"/>
          <w:bCs/>
        </w:rPr>
      </w:pPr>
      <w:r>
        <w:rPr>
          <w:rFonts w:hint="eastAsia" w:ascii="宋体" w:hAnsi="宋体" w:cs="宋体"/>
          <w:bCs/>
        </w:rPr>
        <w:t>（5）售后响应：采购人在发出维修信息后，投标人应提供2小时内免费上门维修服务，零部件免费更换，4小时内保证能够正常使用。</w:t>
      </w:r>
    </w:p>
    <w:p>
      <w:pPr>
        <w:pStyle w:val="192"/>
        <w:spacing w:line="360" w:lineRule="auto"/>
        <w:ind w:firstLine="422"/>
        <w:rPr>
          <w:rFonts w:ascii="宋体" w:hAnsi="宋体" w:cs="宋体"/>
          <w:b/>
          <w:bCs/>
        </w:rPr>
      </w:pPr>
      <w:r>
        <w:rPr>
          <w:rFonts w:hint="eastAsia" w:ascii="宋体" w:hAnsi="宋体" w:cs="宋体"/>
          <w:b/>
          <w:bCs/>
        </w:rPr>
        <w:t>五、付款方式</w:t>
      </w:r>
    </w:p>
    <w:p>
      <w:pPr>
        <w:widowControl/>
        <w:spacing w:line="360" w:lineRule="auto"/>
        <w:ind w:firstLine="420" w:firstLineChars="200"/>
        <w:jc w:val="left"/>
        <w:rPr>
          <w:rFonts w:ascii="宋体" w:hAnsi="宋体" w:cs="宋体"/>
          <w:kern w:val="0"/>
          <w:szCs w:val="21"/>
        </w:rPr>
      </w:pPr>
      <w:bookmarkStart w:id="39" w:name="_Hlk117588678"/>
      <w:r>
        <w:rPr>
          <w:rFonts w:hint="eastAsia" w:ascii="宋体" w:hAnsi="宋体" w:cs="宋体"/>
          <w:kern w:val="0"/>
          <w:szCs w:val="21"/>
        </w:rPr>
        <w:t>（1）项目合同签订后7个工作日内，采购人向中标单位支付合同总价款的30%作为预付款；</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（2）项目试运行1个月后，完成项目正式验收，验收合格后无质量、服务问题，付款至合同总价款的</w:t>
      </w:r>
      <w:r>
        <w:rPr>
          <w:rFonts w:ascii="宋体" w:hAnsi="宋体" w:cs="宋体"/>
          <w:kern w:val="0"/>
          <w:szCs w:val="21"/>
        </w:rPr>
        <w:t>95</w:t>
      </w:r>
      <w:r>
        <w:rPr>
          <w:rFonts w:hint="eastAsia" w:ascii="宋体" w:hAnsi="宋体" w:cs="宋体"/>
          <w:kern w:val="0"/>
          <w:szCs w:val="21"/>
        </w:rPr>
        <w:t>%。</w:t>
      </w:r>
    </w:p>
    <w:p>
      <w:pPr>
        <w:pStyle w:val="22"/>
        <w:ind w:left="0" w:leftChars="0" w:firstLine="420" w:firstLineChars="200"/>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hint="eastAsia"/>
        </w:rPr>
        <w:t>预留5%作为尾款待</w:t>
      </w:r>
      <w:r>
        <w:rPr>
          <w:rFonts w:hint="eastAsia" w:ascii="宋体" w:hAnsi="宋体" w:cs="宋体"/>
          <w:szCs w:val="21"/>
        </w:rPr>
        <w:t>质保期满后无息支付。</w:t>
      </w:r>
    </w:p>
    <w:bookmarkEnd w:id="37"/>
    <w:bookmarkEnd w:id="38"/>
    <w:bookmarkEnd w:id="39"/>
    <w:p>
      <w:pPr>
        <w:pStyle w:val="4"/>
        <w:numPr>
          <w:ilvl w:val="0"/>
          <w:numId w:val="0"/>
        </w:numPr>
        <w:ind w:left="567"/>
        <w:rPr>
          <w:rFonts w:hint="eastAsia" w:ascii="宋体" w:hAnsi="宋体"/>
        </w:rPr>
        <w:sectPr>
          <w:footerReference r:id="rId8" w:type="first"/>
          <w:footerReference r:id="rId7" w:type="default"/>
          <w:pgSz w:w="11906" w:h="16838"/>
          <w:pgMar w:top="1440" w:right="1440" w:bottom="1440" w:left="1440" w:header="1191" w:footer="964" w:gutter="0"/>
          <w:pgNumType w:fmt="decimal" w:start="1"/>
          <w:cols w:space="720" w:num="1"/>
          <w:titlePg/>
          <w:docGrid w:type="lines" w:linePitch="312" w:charSpace="0"/>
        </w:sectPr>
      </w:pPr>
      <w:bookmarkStart w:id="40" w:name="_Toc67565356"/>
      <w:bookmarkStart w:id="41" w:name="_Toc12929"/>
      <w:bookmarkStart w:id="42" w:name="_Toc67670747"/>
    </w:p>
    <w:p>
      <w:pPr>
        <w:pStyle w:val="4"/>
        <w:numPr>
          <w:ilvl w:val="0"/>
          <w:numId w:val="0"/>
        </w:numPr>
        <w:ind w:left="567"/>
        <w:rPr>
          <w:rFonts w:ascii="宋体" w:hAnsi="宋体"/>
        </w:rPr>
      </w:pPr>
      <w:r>
        <w:rPr>
          <w:rFonts w:hint="eastAsia" w:ascii="宋体" w:hAnsi="宋体"/>
        </w:rPr>
        <w:t>第五章 合同主要条款及格式</w:t>
      </w:r>
      <w:bookmarkEnd w:id="40"/>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shd w:val="clear" w:color="auto" w:fill="FFFFFF"/>
        <w:spacing w:line="360" w:lineRule="auto"/>
        <w:jc w:val="center"/>
        <w:rPr>
          <w:rFonts w:ascii="宋体" w:hAnsi="宋体" w:cs="宋体"/>
          <w:b/>
          <w:bCs/>
          <w:kern w:val="0"/>
          <w:sz w:val="32"/>
          <w:szCs w:val="32"/>
        </w:rPr>
      </w:pPr>
      <w:r>
        <w:rPr>
          <w:rFonts w:hint="eastAsia" w:ascii="宋体" w:hAnsi="宋体" w:cs="宋体"/>
          <w:b/>
          <w:bCs/>
          <w:kern w:val="0"/>
          <w:sz w:val="32"/>
          <w:szCs w:val="32"/>
        </w:rPr>
        <w:t>采 购 合 同</w:t>
      </w:r>
    </w:p>
    <w:p>
      <w:pPr>
        <w:widowControl/>
        <w:shd w:val="clear" w:color="auto" w:fill="FFFFFF"/>
        <w:spacing w:line="360" w:lineRule="auto"/>
        <w:ind w:firstLine="315"/>
        <w:rPr>
          <w:rFonts w:ascii="宋体" w:hAnsi="宋体" w:cs="宋体"/>
          <w:kern w:val="0"/>
          <w:szCs w:val="21"/>
        </w:rPr>
      </w:pPr>
      <w:r>
        <w:rPr>
          <w:rFonts w:hint="eastAsia" w:ascii="宋体" w:hAnsi="宋体" w:cs="宋体"/>
          <w:b/>
          <w:bCs/>
          <w:kern w:val="0"/>
          <w:sz w:val="36"/>
          <w:szCs w:val="36"/>
        </w:rPr>
        <w:t> </w:t>
      </w:r>
    </w:p>
    <w:p>
      <w:pPr>
        <w:widowControl/>
        <w:shd w:val="clear" w:color="auto" w:fill="FFFFFF"/>
        <w:spacing w:line="360" w:lineRule="auto"/>
        <w:rPr>
          <w:rFonts w:ascii="宋体" w:hAnsi="宋体" w:cs="宋体"/>
          <w:b/>
          <w:bCs/>
          <w:kern w:val="0"/>
          <w:sz w:val="36"/>
          <w:szCs w:val="36"/>
        </w:rPr>
      </w:pPr>
    </w:p>
    <w:p>
      <w:pPr>
        <w:widowControl/>
        <w:shd w:val="clear" w:color="auto" w:fill="FFFFFF"/>
        <w:spacing w:line="360" w:lineRule="auto"/>
        <w:rPr>
          <w:rFonts w:ascii="宋体" w:hAnsi="宋体" w:cs="宋体"/>
          <w:kern w:val="0"/>
          <w:sz w:val="32"/>
          <w:szCs w:val="32"/>
        </w:rPr>
      </w:pP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合同编号 ：</w:t>
      </w:r>
      <w:r>
        <w:rPr>
          <w:rFonts w:hint="eastAsia" w:ascii="宋体" w:hAnsi="宋体" w:cs="宋体"/>
          <w:b/>
          <w:bCs/>
          <w:kern w:val="0"/>
          <w:sz w:val="32"/>
          <w:szCs w:val="32"/>
          <w:u w:val="single"/>
        </w:rPr>
        <w:t>          </w:t>
      </w: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项目名称 ：</w:t>
      </w:r>
      <w:r>
        <w:rPr>
          <w:rFonts w:hint="eastAsia" w:ascii="宋体" w:hAnsi="宋体" w:cs="宋体"/>
          <w:b/>
          <w:bCs/>
          <w:kern w:val="0"/>
          <w:sz w:val="32"/>
          <w:szCs w:val="32"/>
          <w:u w:val="single"/>
        </w:rPr>
        <w:t>          </w:t>
      </w: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采购人 ：</w:t>
      </w:r>
      <w:r>
        <w:rPr>
          <w:rFonts w:hint="eastAsia" w:ascii="宋体" w:hAnsi="宋体" w:cs="宋体"/>
          <w:b/>
          <w:bCs/>
          <w:kern w:val="0"/>
          <w:sz w:val="32"/>
          <w:szCs w:val="32"/>
          <w:u w:val="single"/>
        </w:rPr>
        <w:t>       </w:t>
      </w:r>
      <w:r>
        <w:rPr>
          <w:rFonts w:ascii="宋体" w:hAnsi="宋体" w:cs="宋体"/>
          <w:b/>
          <w:bCs/>
          <w:kern w:val="0"/>
          <w:sz w:val="32"/>
          <w:szCs w:val="32"/>
          <w:u w:val="single"/>
        </w:rPr>
        <w:t xml:space="preserve">  </w:t>
      </w:r>
      <w:r>
        <w:rPr>
          <w:rFonts w:hint="eastAsia" w:ascii="宋体" w:hAnsi="宋体" w:cs="宋体"/>
          <w:b/>
          <w:bCs/>
          <w:kern w:val="0"/>
          <w:sz w:val="32"/>
          <w:szCs w:val="32"/>
          <w:u w:val="single"/>
        </w:rPr>
        <w:t>   </w:t>
      </w:r>
    </w:p>
    <w:p>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供应商 ：</w:t>
      </w:r>
      <w:r>
        <w:rPr>
          <w:rFonts w:hint="eastAsia" w:ascii="宋体" w:hAnsi="宋体" w:cs="宋体"/>
          <w:b/>
          <w:bCs/>
          <w:kern w:val="0"/>
          <w:sz w:val="32"/>
          <w:szCs w:val="32"/>
          <w:u w:val="single"/>
        </w:rPr>
        <w:t>        </w:t>
      </w:r>
      <w:r>
        <w:rPr>
          <w:rFonts w:ascii="宋体" w:hAnsi="宋体" w:cs="宋体"/>
          <w:b/>
          <w:bCs/>
          <w:kern w:val="0"/>
          <w:sz w:val="32"/>
          <w:szCs w:val="32"/>
          <w:u w:val="single"/>
        </w:rPr>
        <w:t xml:space="preserve">  </w:t>
      </w:r>
      <w:r>
        <w:rPr>
          <w:rFonts w:hint="eastAsia" w:ascii="宋体" w:hAnsi="宋体" w:cs="宋体"/>
          <w:b/>
          <w:bCs/>
          <w:kern w:val="0"/>
          <w:sz w:val="32"/>
          <w:szCs w:val="32"/>
          <w:u w:val="single"/>
        </w:rPr>
        <w:t>  </w:t>
      </w:r>
    </w:p>
    <w:p>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签订日期 ：</w:t>
      </w:r>
      <w:r>
        <w:rPr>
          <w:rFonts w:hint="eastAsia" w:ascii="宋体" w:hAnsi="宋体" w:cs="宋体"/>
          <w:b/>
          <w:bCs/>
          <w:kern w:val="0"/>
          <w:sz w:val="32"/>
          <w:szCs w:val="32"/>
          <w:u w:val="single"/>
        </w:rPr>
        <w:t>          </w:t>
      </w: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cs="宋体" w:asciiTheme="minorEastAsia" w:hAnsiTheme="minorEastAsia" w:eastAsiaTheme="minorEastAsia"/>
          <w:kern w:val="0"/>
          <w:szCs w:val="21"/>
        </w:rPr>
      </w:pPr>
    </w:p>
    <w:p>
      <w:pPr>
        <w:widowControl/>
        <w:shd w:val="clear" w:color="auto" w:fill="FFFFFF"/>
        <w:spacing w:line="360" w:lineRule="auto"/>
        <w:rPr>
          <w:rFonts w:hint="eastAsia" w:cs="宋体" w:asciiTheme="minorEastAsia" w:hAnsiTheme="minorEastAsia" w:eastAsiaTheme="minorEastAsia"/>
          <w:kern w:val="0"/>
          <w:szCs w:val="21"/>
        </w:rPr>
        <w:sectPr>
          <w:footerReference r:id="rId10" w:type="first"/>
          <w:footerReference r:id="rId9" w:type="default"/>
          <w:pgSz w:w="11906" w:h="16838"/>
          <w:pgMar w:top="1440" w:right="1440" w:bottom="1440" w:left="1440" w:header="1191" w:footer="964" w:gutter="0"/>
          <w:pgNumType w:fmt="decimal"/>
          <w:cols w:space="720" w:num="1"/>
          <w:titlePg/>
          <w:docGrid w:type="lines" w:linePitch="312" w:charSpace="0"/>
        </w:sectPr>
      </w:pPr>
    </w:p>
    <w:p>
      <w:pPr>
        <w:widowControl/>
        <w:shd w:val="clear" w:color="auto" w:fill="FFFFFF"/>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合同编号：</w:t>
      </w:r>
    </w:p>
    <w:tbl>
      <w:tblPr>
        <w:tblStyle w:val="45"/>
        <w:tblW w:w="8522" w:type="dxa"/>
        <w:tblInd w:w="108" w:type="dxa"/>
        <w:shd w:val="clear" w:color="auto" w:fill="FFFFFF"/>
        <w:tblLayout w:type="fixed"/>
        <w:tblCellMar>
          <w:top w:w="0" w:type="dxa"/>
          <w:left w:w="0" w:type="dxa"/>
          <w:bottom w:w="0" w:type="dxa"/>
          <w:right w:w="0" w:type="dxa"/>
        </w:tblCellMar>
      </w:tblPr>
      <w:tblGrid>
        <w:gridCol w:w="4271"/>
        <w:gridCol w:w="4251"/>
      </w:tblGrid>
      <w:tr>
        <w:tblPrEx>
          <w:shd w:val="clear" w:color="auto" w:fill="FFFFFF"/>
          <w:tblCellMar>
            <w:top w:w="0" w:type="dxa"/>
            <w:left w:w="0" w:type="dxa"/>
            <w:bottom w:w="0" w:type="dxa"/>
            <w:right w:w="0" w:type="dxa"/>
          </w:tblCellMar>
        </w:tblPrEx>
        <w:trPr>
          <w:trHeight w:val="756" w:hRule="atLeast"/>
        </w:trPr>
        <w:tc>
          <w:tcPr>
            <w:tcW w:w="427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采购人（以下称甲方）：南京旅游职业学院</w:t>
            </w:r>
          </w:p>
        </w:tc>
        <w:tc>
          <w:tcPr>
            <w:tcW w:w="425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供应商（以下称乙方）：</w:t>
            </w:r>
          </w:p>
        </w:tc>
      </w:tr>
      <w:tr>
        <w:tblPrEx>
          <w:shd w:val="clear" w:color="auto" w:fill="FFFFFF"/>
          <w:tblCellMar>
            <w:top w:w="0" w:type="dxa"/>
            <w:left w:w="0" w:type="dxa"/>
            <w:bottom w:w="0" w:type="dxa"/>
            <w:right w:w="0" w:type="dxa"/>
          </w:tblCellMar>
        </w:tblPrEx>
        <w:trPr>
          <w:trHeight w:val="769" w:hRule="atLeast"/>
        </w:trPr>
        <w:tc>
          <w:tcPr>
            <w:tcW w:w="427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r>
              <w:rPr>
                <w:rFonts w:hint="eastAsia" w:asciiTheme="minorEastAsia" w:hAnsiTheme="minorEastAsia" w:eastAsiaTheme="minorEastAsia" w:cstheme="minorEastAsia"/>
                <w:szCs w:val="21"/>
              </w:rPr>
              <w:t>江苏省南京市江宁区月华西路1号</w:t>
            </w:r>
          </w:p>
        </w:tc>
        <w:tc>
          <w:tcPr>
            <w:tcW w:w="425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p>
        </w:tc>
      </w:tr>
    </w:tbl>
    <w:p>
      <w:pPr>
        <w:ind w:firstLine="422" w:firstLineChars="200"/>
        <w:rPr>
          <w:rFonts w:cs="宋体" w:asciiTheme="minorEastAsia" w:hAnsiTheme="minorEastAsia" w:eastAsiaTheme="minorEastAsia"/>
          <w:b/>
          <w:bCs/>
          <w:kern w:val="0"/>
          <w:szCs w:val="21"/>
        </w:rPr>
      </w:pP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根据《中华人民共和国政府采购法》、《中华人民共和国民法典》等法律法规的规定，甲乙双方按照采购代理机构的采购结果签订本合同。</w:t>
      </w:r>
    </w:p>
    <w:p>
      <w:pPr>
        <w:ind w:firstLine="422" w:firstLineChars="200"/>
        <w:rPr>
          <w:b/>
          <w:bCs/>
        </w:rPr>
      </w:pPr>
      <w:r>
        <w:rPr>
          <w:rFonts w:hint="eastAsia" w:cs="宋体" w:asciiTheme="minorEastAsia" w:hAnsiTheme="minorEastAsia" w:eastAsiaTheme="minorEastAsia"/>
          <w:b/>
          <w:bCs/>
          <w:kern w:val="0"/>
          <w:szCs w:val="21"/>
        </w:rPr>
        <w:t>第一条 项目</w:t>
      </w:r>
      <w:r>
        <w:rPr>
          <w:b/>
          <w:bCs/>
        </w:rPr>
        <w:t>说明</w:t>
      </w:r>
    </w:p>
    <w:p>
      <w:pPr>
        <w:spacing w:line="360" w:lineRule="auto"/>
        <w:ind w:firstLine="420" w:firstLineChars="200"/>
        <w:rPr>
          <w:rFonts w:ascii="宋体" w:hAnsi="宋体"/>
        </w:rPr>
      </w:pPr>
      <w:r>
        <w:rPr>
          <w:rFonts w:ascii="宋体" w:hAnsi="宋体"/>
        </w:rPr>
        <w:t>受甲方委托，</w:t>
      </w:r>
      <w:r>
        <w:rPr>
          <w:rFonts w:hint="eastAsia" w:ascii="宋体" w:hAnsi="宋体"/>
        </w:rPr>
        <w:t>采购代理机构</w:t>
      </w:r>
      <w:r>
        <w:rPr>
          <w:rFonts w:ascii="宋体" w:hAnsi="宋体"/>
        </w:rPr>
        <w:t>于</w:t>
      </w:r>
      <w:r>
        <w:rPr>
          <w:rFonts w:hint="eastAsia" w:ascii="宋体" w:hAnsi="宋体"/>
        </w:rPr>
        <w:t>2023</w:t>
      </w:r>
      <w:r>
        <w:rPr>
          <w:rFonts w:ascii="宋体" w:hAnsi="宋体"/>
        </w:rPr>
        <w:t>年</w:t>
      </w:r>
      <w:r>
        <w:rPr>
          <w:rFonts w:hint="eastAsia" w:ascii="宋体" w:hAnsi="宋体"/>
        </w:rPr>
        <w:t>X月X日</w:t>
      </w:r>
      <w:r>
        <w:rPr>
          <w:rFonts w:ascii="宋体" w:hAnsi="宋体"/>
        </w:rPr>
        <w:t>组织了</w:t>
      </w:r>
      <w:r>
        <w:rPr>
          <w:rFonts w:hint="eastAsia" w:ascii="宋体" w:hAnsi="宋体"/>
          <w:u w:val="single"/>
        </w:rPr>
        <w:t xml:space="preserve"> </w:t>
      </w:r>
      <w:r>
        <w:rPr>
          <w:rFonts w:ascii="宋体" w:hAnsi="宋体"/>
          <w:u w:val="single"/>
        </w:rPr>
        <w:t xml:space="preserve">           </w:t>
      </w:r>
      <w:r>
        <w:rPr>
          <w:rFonts w:hint="eastAsia" w:ascii="宋体" w:hAnsi="宋体"/>
        </w:rPr>
        <w:t>（采购单位）</w:t>
      </w:r>
      <w:r>
        <w:rPr>
          <w:rFonts w:ascii="宋体" w:hAnsi="宋体"/>
        </w:rPr>
        <w:t>所需</w:t>
      </w:r>
      <w:r>
        <w:rPr>
          <w:rFonts w:hint="eastAsia" w:ascii="宋体" w:hAnsi="宋体"/>
          <w:u w:val="single"/>
        </w:rPr>
        <w:t xml:space="preserve"> </w:t>
      </w:r>
      <w:r>
        <w:rPr>
          <w:rFonts w:ascii="宋体" w:hAnsi="宋体"/>
          <w:u w:val="single"/>
        </w:rPr>
        <w:t xml:space="preserve">        </w:t>
      </w:r>
      <w:r>
        <w:rPr>
          <w:rFonts w:hint="eastAsia" w:ascii="宋体" w:hAnsi="宋体"/>
        </w:rPr>
        <w:t>（项目名称）</w:t>
      </w:r>
      <w:r>
        <w:rPr>
          <w:rFonts w:ascii="宋体" w:hAnsi="宋体"/>
        </w:rPr>
        <w:t>的</w:t>
      </w:r>
      <w:r>
        <w:rPr>
          <w:rFonts w:hint="eastAsia" w:ascii="宋体" w:hAnsi="宋体"/>
        </w:rPr>
        <w:t>采购</w:t>
      </w:r>
      <w:r>
        <w:rPr>
          <w:rFonts w:ascii="宋体" w:hAnsi="宋体"/>
        </w:rPr>
        <w:t>，经评委认真严格地评审，确定由乙方成交。</w:t>
      </w:r>
    </w:p>
    <w:p>
      <w:pPr>
        <w:ind w:firstLine="422" w:firstLineChars="200"/>
        <w:rPr>
          <w:b/>
          <w:bCs/>
        </w:rPr>
      </w:pPr>
      <w:r>
        <w:rPr>
          <w:rFonts w:hint="eastAsia" w:cs="宋体" w:asciiTheme="minorEastAsia" w:hAnsiTheme="minorEastAsia" w:eastAsiaTheme="minorEastAsia"/>
          <w:b/>
          <w:bCs/>
          <w:kern w:val="0"/>
          <w:szCs w:val="21"/>
        </w:rPr>
        <w:t xml:space="preserve">第二条 </w:t>
      </w:r>
      <w:r>
        <w:rPr>
          <w:b/>
          <w:bCs/>
        </w:rPr>
        <w:t>合同条款</w:t>
      </w:r>
    </w:p>
    <w:p>
      <w:pPr>
        <w:spacing w:line="360" w:lineRule="auto"/>
        <w:ind w:firstLine="420" w:firstLineChars="200"/>
        <w:rPr>
          <w:rFonts w:ascii="宋体" w:hAnsi="宋体"/>
        </w:rPr>
      </w:pPr>
      <w:r>
        <w:rPr>
          <w:rFonts w:ascii="宋体" w:hAnsi="宋体"/>
        </w:rPr>
        <w:t>合同由买卖双方签订，并依据</w:t>
      </w:r>
      <w:r>
        <w:rPr>
          <w:rFonts w:hint="eastAsia" w:ascii="宋体" w:hAnsi="宋体"/>
        </w:rPr>
        <w:t>项目编号：</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采购文件</w:t>
      </w:r>
      <w:r>
        <w:rPr>
          <w:rFonts w:ascii="宋体" w:hAnsi="宋体"/>
        </w:rPr>
        <w:t>规定，按下列合同条款甲方同意购入，乙方同意卖出下列设备及服务。</w:t>
      </w:r>
    </w:p>
    <w:p>
      <w:pPr>
        <w:spacing w:line="360" w:lineRule="auto"/>
        <w:ind w:firstLine="420" w:firstLineChars="200"/>
        <w:rPr>
          <w:rFonts w:ascii="宋体" w:hAnsi="宋体"/>
          <w:u w:val="single"/>
        </w:rPr>
      </w:pPr>
      <w:r>
        <w:rPr>
          <w:rFonts w:ascii="宋体" w:hAnsi="宋体"/>
        </w:rPr>
        <w:t>1</w:t>
      </w:r>
      <w:r>
        <w:rPr>
          <w:rFonts w:hint="eastAsia" w:ascii="宋体" w:hAnsi="宋体"/>
        </w:rPr>
        <w:t>、</w:t>
      </w:r>
      <w:r>
        <w:rPr>
          <w:rFonts w:ascii="宋体" w:hAnsi="宋体"/>
        </w:rPr>
        <w:t>设备名称、型号规格、数量及服务内容</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360" w:lineRule="auto"/>
        <w:ind w:firstLine="420" w:firstLineChars="200"/>
        <w:rPr>
          <w:rFonts w:ascii="宋体" w:hAnsi="宋体"/>
          <w:u w:val="single"/>
        </w:rPr>
      </w:pPr>
      <w:r>
        <w:rPr>
          <w:rFonts w:ascii="宋体" w:hAnsi="宋体"/>
        </w:rPr>
        <w:t>详见</w:t>
      </w:r>
      <w:r>
        <w:rPr>
          <w:rFonts w:hint="eastAsia" w:ascii="宋体" w:hAnsi="宋体"/>
        </w:rPr>
        <w:t>文件</w:t>
      </w:r>
      <w:r>
        <w:rPr>
          <w:rFonts w:ascii="宋体" w:hAnsi="宋体"/>
        </w:rPr>
        <w:t>技术规格、参数及其他要求</w:t>
      </w:r>
      <w:r>
        <w:rPr>
          <w:rFonts w:hint="eastAsia" w:ascii="宋体" w:hAnsi="宋体"/>
        </w:rPr>
        <w:t>。</w:t>
      </w:r>
    </w:p>
    <w:p>
      <w:pPr>
        <w:spacing w:line="360" w:lineRule="auto"/>
        <w:ind w:firstLine="420" w:firstLineChars="200"/>
        <w:rPr>
          <w:rFonts w:ascii="宋体" w:hAnsi="宋体"/>
        </w:rPr>
      </w:pPr>
      <w:r>
        <w:rPr>
          <w:rFonts w:ascii="宋体" w:hAnsi="宋体"/>
        </w:rPr>
        <w:t>2</w:t>
      </w:r>
      <w:r>
        <w:rPr>
          <w:rFonts w:hint="eastAsia" w:ascii="宋体" w:hAnsi="宋体"/>
        </w:rPr>
        <w:t>、</w:t>
      </w:r>
      <w:r>
        <w:rPr>
          <w:rFonts w:ascii="宋体" w:hAnsi="宋体"/>
        </w:rPr>
        <w:t>合同总价（大写）：</w:t>
      </w:r>
      <w:r>
        <w:rPr>
          <w:rFonts w:ascii="宋体" w:hAnsi="宋体"/>
          <w:u w:val="single"/>
        </w:rPr>
        <w:t xml:space="preserve">                        </w:t>
      </w:r>
      <w:r>
        <w:rPr>
          <w:rFonts w:ascii="宋体" w:hAnsi="宋体"/>
        </w:rPr>
        <w:t>。</w:t>
      </w:r>
    </w:p>
    <w:p>
      <w:pPr>
        <w:spacing w:line="360" w:lineRule="auto"/>
        <w:ind w:firstLine="420" w:firstLineChars="200"/>
        <w:rPr>
          <w:rFonts w:ascii="宋体" w:hAnsi="宋体"/>
        </w:rPr>
      </w:pPr>
      <w:r>
        <w:rPr>
          <w:rFonts w:ascii="宋体" w:hAnsi="宋体"/>
        </w:rPr>
        <w:t>2.1</w:t>
      </w:r>
      <w:r>
        <w:rPr>
          <w:rFonts w:hint="eastAsia" w:ascii="宋体" w:hAnsi="宋体"/>
        </w:rPr>
        <w:t xml:space="preserve"> </w:t>
      </w:r>
      <w:r>
        <w:rPr>
          <w:rFonts w:ascii="宋体" w:hAnsi="宋体"/>
        </w:rPr>
        <w:t>投标报价，应包括本次采购范围内全部设备、材料、随设备提供的备品配件及专用工具的价格、全部税、包装费、运杂费（运抵甲方项目现场）、保险费、安装费、调试费、甲方操作维护人员培训费、验收检定费（含运输等费用）及供应商认为需要的其他费用等。</w:t>
      </w:r>
    </w:p>
    <w:p>
      <w:pPr>
        <w:spacing w:line="360" w:lineRule="auto"/>
        <w:ind w:firstLine="420" w:firstLineChars="200"/>
        <w:rPr>
          <w:rFonts w:ascii="宋体" w:hAnsi="宋体"/>
        </w:rPr>
      </w:pPr>
      <w:r>
        <w:rPr>
          <w:rFonts w:ascii="宋体" w:hAnsi="宋体"/>
        </w:rPr>
        <w:t>2.2</w:t>
      </w:r>
      <w:r>
        <w:rPr>
          <w:rFonts w:hint="eastAsia" w:ascii="宋体" w:hAnsi="宋体"/>
        </w:rPr>
        <w:t xml:space="preserve"> </w:t>
      </w:r>
      <w:r>
        <w:rPr>
          <w:rFonts w:ascii="宋体" w:hAnsi="宋体"/>
        </w:rPr>
        <w:t>在安装、调试、验收过程中，如发现有漏项、缺件，乙方应无条件、无偿补齐，所发生的一切费用，视为已包含在乙方投标时的投标报价之中，且并不因此而影响交付甲方使用的时间。</w:t>
      </w:r>
    </w:p>
    <w:p>
      <w:pPr>
        <w:spacing w:line="360" w:lineRule="auto"/>
        <w:ind w:firstLine="420" w:firstLineChars="200"/>
        <w:rPr>
          <w:rFonts w:ascii="宋体" w:hAnsi="宋体"/>
          <w:bCs/>
        </w:rPr>
      </w:pPr>
      <w:r>
        <w:rPr>
          <w:rFonts w:ascii="宋体" w:hAnsi="宋体"/>
          <w:bCs/>
        </w:rPr>
        <w:t>3</w:t>
      </w:r>
      <w:r>
        <w:rPr>
          <w:rFonts w:hint="eastAsia" w:ascii="宋体" w:hAnsi="宋体"/>
          <w:bCs/>
        </w:rPr>
        <w:t>、</w:t>
      </w:r>
      <w:r>
        <w:rPr>
          <w:rFonts w:ascii="宋体" w:hAnsi="宋体"/>
          <w:bCs/>
        </w:rPr>
        <w:t>交付使用时间：</w:t>
      </w:r>
    </w:p>
    <w:p>
      <w:pPr>
        <w:spacing w:line="360" w:lineRule="auto"/>
        <w:ind w:firstLine="420" w:firstLineChars="200"/>
        <w:rPr>
          <w:rFonts w:ascii="宋体" w:hAnsi="宋体"/>
          <w:bCs/>
        </w:rPr>
      </w:pPr>
      <w:r>
        <w:rPr>
          <w:rFonts w:hint="eastAsia" w:ascii="宋体" w:hAnsi="宋体"/>
          <w:bCs/>
        </w:rPr>
        <w:t>合同签订生效后，</w:t>
      </w:r>
      <w:r>
        <w:rPr>
          <w:rFonts w:ascii="宋体" w:hAnsi="宋体"/>
          <w:bCs/>
        </w:rPr>
        <w:t>40</w:t>
      </w:r>
      <w:r>
        <w:rPr>
          <w:rFonts w:hint="eastAsia" w:ascii="宋体" w:hAnsi="宋体"/>
          <w:bCs/>
        </w:rPr>
        <w:t>天内安装完成。全部</w:t>
      </w:r>
      <w:r>
        <w:rPr>
          <w:rFonts w:ascii="宋体" w:hAnsi="宋体"/>
          <w:bCs/>
        </w:rPr>
        <w:t>设备、</w:t>
      </w:r>
      <w:r>
        <w:rPr>
          <w:rFonts w:hint="eastAsia" w:ascii="宋体" w:hAnsi="宋体"/>
          <w:bCs/>
        </w:rPr>
        <w:t>材料</w:t>
      </w:r>
      <w:r>
        <w:rPr>
          <w:rFonts w:ascii="宋体" w:hAnsi="宋体"/>
          <w:bCs/>
        </w:rPr>
        <w:t>全部</w:t>
      </w:r>
      <w:r>
        <w:rPr>
          <w:rFonts w:hint="eastAsia" w:ascii="宋体" w:hAnsi="宋体"/>
          <w:bCs/>
        </w:rPr>
        <w:t>运抵现场，</w:t>
      </w:r>
      <w:r>
        <w:rPr>
          <w:rFonts w:ascii="宋体" w:hAnsi="宋体"/>
          <w:bCs/>
        </w:rPr>
        <w:t>并安装、调试结束，交付甲方使用。</w:t>
      </w:r>
    </w:p>
    <w:p>
      <w:pPr>
        <w:spacing w:line="360" w:lineRule="auto"/>
        <w:ind w:firstLine="420" w:firstLineChars="200"/>
        <w:rPr>
          <w:rFonts w:ascii="宋体" w:hAnsi="宋体"/>
          <w:bCs/>
        </w:rPr>
      </w:pPr>
      <w:r>
        <w:rPr>
          <w:rFonts w:ascii="宋体" w:hAnsi="宋体"/>
          <w:bCs/>
        </w:rPr>
        <w:t>4</w:t>
      </w:r>
      <w:r>
        <w:rPr>
          <w:rFonts w:hint="eastAsia" w:ascii="宋体" w:hAnsi="宋体"/>
          <w:bCs/>
        </w:rPr>
        <w:t>、</w:t>
      </w:r>
      <w:r>
        <w:rPr>
          <w:rFonts w:ascii="宋体" w:hAnsi="宋体"/>
          <w:bCs/>
        </w:rPr>
        <w:t>收货人：</w:t>
      </w:r>
      <w:r>
        <w:rPr>
          <w:rFonts w:ascii="宋体" w:hAnsi="宋体"/>
          <w:bCs/>
          <w:u w:val="single"/>
        </w:rPr>
        <w:t xml:space="preserve">                       </w:t>
      </w:r>
      <w:r>
        <w:rPr>
          <w:rFonts w:hint="eastAsia" w:ascii="宋体" w:hAnsi="宋体"/>
          <w:bCs/>
        </w:rPr>
        <w:t>。</w:t>
      </w:r>
      <w:r>
        <w:rPr>
          <w:rFonts w:ascii="宋体" w:hAnsi="宋体"/>
          <w:bCs/>
        </w:rPr>
        <w:t xml:space="preserve"> </w:t>
      </w:r>
    </w:p>
    <w:p>
      <w:pPr>
        <w:spacing w:line="360" w:lineRule="auto"/>
        <w:ind w:firstLine="420" w:firstLineChars="200"/>
        <w:rPr>
          <w:rFonts w:ascii="宋体" w:hAnsi="宋体"/>
        </w:rPr>
      </w:pPr>
      <w:r>
        <w:rPr>
          <w:rFonts w:ascii="宋体" w:hAnsi="宋体"/>
        </w:rPr>
        <w:t>5</w:t>
      </w:r>
      <w:r>
        <w:rPr>
          <w:rFonts w:hint="eastAsia" w:ascii="宋体" w:hAnsi="宋体"/>
        </w:rPr>
        <w:t>、</w:t>
      </w:r>
      <w:r>
        <w:rPr>
          <w:rFonts w:ascii="宋体" w:hAnsi="宋体"/>
        </w:rPr>
        <w:t>交货地点：甲方指定地点。</w:t>
      </w:r>
    </w:p>
    <w:p>
      <w:pPr>
        <w:spacing w:line="360" w:lineRule="auto"/>
        <w:ind w:firstLine="420" w:firstLineChars="200"/>
        <w:rPr>
          <w:rFonts w:ascii="宋体" w:hAnsi="宋体"/>
          <w:u w:val="single"/>
        </w:rPr>
      </w:pPr>
      <w:r>
        <w:rPr>
          <w:rFonts w:ascii="宋体" w:hAnsi="宋体"/>
        </w:rPr>
        <w:t>6</w:t>
      </w:r>
      <w:r>
        <w:rPr>
          <w:rFonts w:hint="eastAsia" w:ascii="宋体" w:hAnsi="宋体"/>
        </w:rPr>
        <w:t>、</w:t>
      </w:r>
      <w:r>
        <w:rPr>
          <w:rFonts w:ascii="宋体" w:hAnsi="宋体"/>
        </w:rPr>
        <w:t>设备的制造应符合</w:t>
      </w:r>
      <w:r>
        <w:rPr>
          <w:rFonts w:hint="eastAsia" w:ascii="宋体" w:hAnsi="宋体"/>
        </w:rPr>
        <w:t>国家</w:t>
      </w:r>
      <w:r>
        <w:rPr>
          <w:rFonts w:ascii="宋体" w:hAnsi="宋体"/>
        </w:rPr>
        <w:t>标准或规范并据此验收</w:t>
      </w:r>
      <w:r>
        <w:rPr>
          <w:rFonts w:hint="eastAsia" w:ascii="宋体" w:hAnsi="宋体"/>
        </w:rPr>
        <w:t>。</w:t>
      </w:r>
    </w:p>
    <w:p>
      <w:pPr>
        <w:spacing w:line="360" w:lineRule="auto"/>
        <w:ind w:firstLine="420" w:firstLineChars="200"/>
        <w:rPr>
          <w:rFonts w:ascii="宋体" w:hAnsi="宋体"/>
        </w:rPr>
      </w:pPr>
      <w:r>
        <w:rPr>
          <w:rFonts w:ascii="宋体" w:hAnsi="宋体"/>
        </w:rPr>
        <w:t>7</w:t>
      </w:r>
      <w:r>
        <w:rPr>
          <w:rFonts w:hint="eastAsia" w:ascii="宋体" w:hAnsi="宋体"/>
        </w:rPr>
        <w:t>、</w:t>
      </w:r>
      <w:r>
        <w:rPr>
          <w:rFonts w:ascii="宋体" w:hAnsi="宋体"/>
        </w:rPr>
        <w:t>包装要求：全部货物的外包装，必须采用防漏、防潮、防震、防锈、防盗和考虑到可能会发生的野蛮装卸等长途内陆运输及多次装卸之需要。</w:t>
      </w:r>
    </w:p>
    <w:p>
      <w:pPr>
        <w:widowControl/>
        <w:spacing w:line="360" w:lineRule="auto"/>
        <w:ind w:firstLine="420" w:firstLineChars="200"/>
        <w:jc w:val="left"/>
        <w:rPr>
          <w:rFonts w:ascii="宋体" w:hAnsi="宋体"/>
        </w:rPr>
      </w:pPr>
      <w:r>
        <w:rPr>
          <w:rFonts w:ascii="宋体" w:hAnsi="宋体"/>
        </w:rPr>
        <w:t>8</w:t>
      </w:r>
      <w:r>
        <w:rPr>
          <w:rFonts w:hint="eastAsia" w:ascii="宋体" w:hAnsi="宋体"/>
        </w:rPr>
        <w:t>、</w:t>
      </w:r>
      <w:r>
        <w:rPr>
          <w:rFonts w:ascii="宋体" w:hAnsi="宋体"/>
        </w:rPr>
        <w:t>甲方付款方式及期限：</w:t>
      </w:r>
    </w:p>
    <w:p>
      <w:pPr>
        <w:widowControl/>
        <w:spacing w:line="360" w:lineRule="auto"/>
        <w:ind w:firstLine="420" w:firstLineChars="200"/>
        <w:jc w:val="left"/>
        <w:rPr>
          <w:rFonts w:hint="eastAsia" w:ascii="宋体" w:hAnsi="宋体" w:cs="宋体"/>
          <w:kern w:val="0"/>
          <w:szCs w:val="21"/>
        </w:rPr>
        <w:sectPr>
          <w:footerReference r:id="rId12" w:type="first"/>
          <w:footerReference r:id="rId11" w:type="default"/>
          <w:pgSz w:w="11906" w:h="16838"/>
          <w:pgMar w:top="1440" w:right="1440" w:bottom="1440" w:left="1440" w:header="1191" w:footer="964" w:gutter="0"/>
          <w:pgNumType w:fmt="decimal"/>
          <w:cols w:space="720" w:num="1"/>
          <w:docGrid w:type="lines" w:linePitch="312" w:charSpace="0"/>
        </w:sectPr>
      </w:pP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（1）项目合同签订后7个工作日内，采购人向中标单位支付合同总价款的30%作为预付款；</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（2）项目试运行1个月后，完成项目正式验收，验收合格后无质量、服务问题，付款至合同总价款的</w:t>
      </w:r>
      <w:r>
        <w:rPr>
          <w:rFonts w:ascii="宋体" w:hAnsi="宋体" w:cs="宋体"/>
          <w:kern w:val="0"/>
          <w:szCs w:val="21"/>
        </w:rPr>
        <w:t>95</w:t>
      </w:r>
      <w:r>
        <w:rPr>
          <w:rFonts w:hint="eastAsia" w:ascii="宋体" w:hAnsi="宋体" w:cs="宋体"/>
          <w:kern w:val="0"/>
          <w:szCs w:val="21"/>
        </w:rPr>
        <w:t>%。</w:t>
      </w:r>
    </w:p>
    <w:p>
      <w:pPr>
        <w:pStyle w:val="22"/>
        <w:ind w:left="0" w:leftChars="0" w:firstLine="420" w:firstLineChars="200"/>
      </w:pPr>
      <w:r>
        <w:rPr>
          <w:rFonts w:hint="eastAsia"/>
        </w:rPr>
        <w:t>（3）预留5%作为尾款待</w:t>
      </w:r>
      <w:r>
        <w:rPr>
          <w:rFonts w:hint="eastAsia" w:ascii="宋体" w:hAnsi="宋体" w:cs="宋体"/>
          <w:szCs w:val="21"/>
        </w:rPr>
        <w:t>质保期满后无息支付。</w:t>
      </w:r>
    </w:p>
    <w:p>
      <w:pPr>
        <w:spacing w:line="360" w:lineRule="auto"/>
        <w:ind w:firstLine="420" w:firstLineChars="200"/>
        <w:rPr>
          <w:rFonts w:ascii="宋体" w:hAnsi="宋体"/>
        </w:rPr>
      </w:pPr>
      <w:r>
        <w:rPr>
          <w:rFonts w:ascii="宋体" w:hAnsi="宋体"/>
        </w:rPr>
        <w:t>9</w:t>
      </w:r>
      <w:r>
        <w:rPr>
          <w:rFonts w:hint="eastAsia" w:ascii="宋体" w:hAnsi="宋体"/>
        </w:rPr>
        <w:t>、</w:t>
      </w:r>
      <w:r>
        <w:rPr>
          <w:rFonts w:ascii="宋体" w:hAnsi="宋体"/>
        </w:rPr>
        <w:t>验收</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甲方自行组织或视情邀请相关专家或国家认可的质量检测机构参加验收，乙方提供的产品和服务不符合文件和合同规定的，甲方有权拒收，乙方承担验收费用等。</w:t>
      </w:r>
    </w:p>
    <w:p>
      <w:pPr>
        <w:spacing w:line="360" w:lineRule="auto"/>
        <w:ind w:firstLine="420" w:firstLineChars="200"/>
        <w:rPr>
          <w:rFonts w:ascii="宋体" w:hAnsi="宋体"/>
        </w:rPr>
      </w:pPr>
      <w:r>
        <w:rPr>
          <w:rFonts w:ascii="宋体" w:hAnsi="宋体"/>
        </w:rPr>
        <w:t>10</w:t>
      </w:r>
      <w:r>
        <w:rPr>
          <w:rFonts w:hint="eastAsia" w:ascii="宋体" w:hAnsi="宋体"/>
        </w:rPr>
        <w:t>、</w:t>
      </w:r>
      <w:r>
        <w:rPr>
          <w:rFonts w:ascii="宋体" w:hAnsi="宋体"/>
        </w:rPr>
        <w:t>质保期及售后服务</w:t>
      </w:r>
    </w:p>
    <w:p>
      <w:pPr>
        <w:spacing w:line="360" w:lineRule="auto"/>
        <w:ind w:firstLine="420" w:firstLineChars="200"/>
        <w:rPr>
          <w:rFonts w:ascii="宋体" w:hAnsi="宋体"/>
        </w:rPr>
      </w:pPr>
      <w:r>
        <w:rPr>
          <w:rFonts w:ascii="宋体" w:hAnsi="宋体"/>
        </w:rPr>
        <w:t>10.1</w:t>
      </w:r>
      <w:r>
        <w:rPr>
          <w:rFonts w:hint="eastAsia" w:ascii="宋体" w:hAnsi="宋体"/>
        </w:rPr>
        <w:t xml:space="preserve"> </w:t>
      </w:r>
      <w:r>
        <w:rPr>
          <w:rFonts w:ascii="宋体" w:hAnsi="宋体"/>
        </w:rPr>
        <w:t>乙方所供设备、材料及安装的质量保证期至少为</w:t>
      </w:r>
      <w:r>
        <w:rPr>
          <w:rFonts w:hint="eastAsia" w:ascii="宋体" w:hAnsi="宋体"/>
        </w:rPr>
        <w:t>3</w:t>
      </w:r>
      <w:r>
        <w:rPr>
          <w:rFonts w:ascii="宋体" w:hAnsi="宋体"/>
        </w:rPr>
        <w:t>年，自验收合格起计算。</w:t>
      </w:r>
    </w:p>
    <w:p>
      <w:pPr>
        <w:spacing w:line="360" w:lineRule="auto"/>
        <w:ind w:firstLine="420" w:firstLineChars="200"/>
        <w:rPr>
          <w:rFonts w:ascii="宋体" w:hAnsi="宋体"/>
        </w:rPr>
      </w:pPr>
      <w:r>
        <w:rPr>
          <w:rFonts w:ascii="宋体" w:hAnsi="宋体"/>
        </w:rPr>
        <w:t>10.2</w:t>
      </w:r>
      <w:r>
        <w:rPr>
          <w:rFonts w:hint="eastAsia" w:ascii="宋体" w:hAnsi="宋体"/>
        </w:rPr>
        <w:t xml:space="preserve"> </w:t>
      </w:r>
      <w:r>
        <w:rPr>
          <w:rFonts w:ascii="宋体" w:hAnsi="宋体"/>
        </w:rPr>
        <w:t>在质保期内，因乙方所供设备、材料制造质量或安装问题出现设备故障时，乙方在接甲方通知后，</w:t>
      </w:r>
      <w:r>
        <w:rPr>
          <w:rFonts w:hint="eastAsia" w:ascii="宋体" w:hAnsi="宋体"/>
        </w:rPr>
        <w:t>2</w:t>
      </w:r>
      <w:r>
        <w:rPr>
          <w:rFonts w:ascii="宋体" w:hAnsi="宋体"/>
        </w:rPr>
        <w:t>小时内响应，并在</w:t>
      </w:r>
      <w:r>
        <w:rPr>
          <w:rFonts w:hint="eastAsia" w:ascii="宋体" w:hAnsi="宋体"/>
        </w:rPr>
        <w:t>2</w:t>
      </w:r>
      <w:r>
        <w:rPr>
          <w:rFonts w:ascii="宋体" w:hAnsi="宋体"/>
        </w:rPr>
        <w:t>小时内赶到甲方现场，免费予以排除故障、修复或更换零部件。还应支付因更换所发生的运输、保险、安装、检测等有关的全部费用。</w:t>
      </w:r>
    </w:p>
    <w:p>
      <w:pPr>
        <w:spacing w:line="360" w:lineRule="auto"/>
        <w:ind w:firstLine="420" w:firstLineChars="200"/>
        <w:rPr>
          <w:rFonts w:ascii="宋体" w:hAnsi="宋体"/>
        </w:rPr>
      </w:pPr>
      <w:r>
        <w:rPr>
          <w:rFonts w:ascii="宋体" w:hAnsi="宋体"/>
        </w:rPr>
        <w:t>10.3</w:t>
      </w:r>
      <w:r>
        <w:rPr>
          <w:rFonts w:hint="eastAsia" w:ascii="宋体" w:hAnsi="宋体"/>
        </w:rPr>
        <w:t xml:space="preserve"> </w:t>
      </w:r>
      <w:r>
        <w:rPr>
          <w:rFonts w:ascii="宋体" w:hAnsi="宋体"/>
        </w:rPr>
        <w:t>在质保期内，因甲方使用不当原因出现设备故障时，乙方在接甲方通知后，应在10.2条款中所述的时限内赶到甲方现场，帮助排除故障、修复或更换零部件，需购买零部件时，酌情收取成本费。</w:t>
      </w:r>
    </w:p>
    <w:p>
      <w:pPr>
        <w:spacing w:line="360" w:lineRule="auto"/>
        <w:ind w:firstLine="420" w:firstLineChars="200"/>
        <w:rPr>
          <w:rFonts w:ascii="宋体" w:hAnsi="宋体"/>
        </w:rPr>
      </w:pPr>
      <w:r>
        <w:rPr>
          <w:rFonts w:ascii="宋体" w:hAnsi="宋体"/>
        </w:rPr>
        <w:t>10.4</w:t>
      </w:r>
      <w:r>
        <w:rPr>
          <w:rFonts w:hint="eastAsia" w:ascii="宋体" w:hAnsi="宋体"/>
        </w:rPr>
        <w:t xml:space="preserve"> </w:t>
      </w:r>
      <w:r>
        <w:rPr>
          <w:rFonts w:ascii="宋体" w:hAnsi="宋体"/>
        </w:rPr>
        <w:t>质保期满后，如设备出现故障，乙方在接甲方通知后，仍应在上述时间内响应、派人赶到甲方现场，帮助排除故障、修复或更换零部件，需购买零部件时，酌情收取成本费。</w:t>
      </w:r>
    </w:p>
    <w:p>
      <w:pPr>
        <w:spacing w:line="360" w:lineRule="auto"/>
        <w:ind w:firstLine="420" w:firstLineChars="200"/>
        <w:rPr>
          <w:rFonts w:ascii="宋体" w:hAnsi="宋体"/>
        </w:rPr>
      </w:pPr>
      <w:r>
        <w:rPr>
          <w:rFonts w:ascii="宋体" w:hAnsi="宋体"/>
        </w:rPr>
        <w:t>11</w:t>
      </w:r>
      <w:r>
        <w:rPr>
          <w:rFonts w:hint="eastAsia" w:ascii="宋体" w:hAnsi="宋体"/>
        </w:rPr>
        <w:t>、</w:t>
      </w:r>
      <w:r>
        <w:rPr>
          <w:rFonts w:ascii="宋体" w:hAnsi="宋体"/>
        </w:rPr>
        <w:t>技术资料</w:t>
      </w:r>
    </w:p>
    <w:p>
      <w:pPr>
        <w:spacing w:line="360" w:lineRule="auto"/>
        <w:ind w:firstLine="420" w:firstLineChars="200"/>
        <w:rPr>
          <w:rFonts w:ascii="宋体" w:hAnsi="宋体"/>
        </w:rPr>
      </w:pPr>
      <w:r>
        <w:rPr>
          <w:rFonts w:ascii="宋体" w:hAnsi="宋体"/>
        </w:rPr>
        <w:t>按第四章</w:t>
      </w:r>
      <w:r>
        <w:rPr>
          <w:rFonts w:hint="eastAsia" w:ascii="宋体" w:hAnsi="宋体"/>
        </w:rPr>
        <w:t>采购</w:t>
      </w:r>
      <w:r>
        <w:rPr>
          <w:rFonts w:ascii="宋体" w:hAnsi="宋体"/>
        </w:rPr>
        <w:t>需求中的要求提供相关资料。</w:t>
      </w:r>
    </w:p>
    <w:p>
      <w:pPr>
        <w:spacing w:line="360" w:lineRule="auto"/>
        <w:ind w:firstLine="420" w:firstLineChars="200"/>
        <w:rPr>
          <w:rFonts w:ascii="宋体" w:hAnsi="宋体"/>
        </w:rPr>
      </w:pPr>
      <w:r>
        <w:rPr>
          <w:rFonts w:ascii="宋体" w:hAnsi="宋体"/>
        </w:rPr>
        <w:t>12</w:t>
      </w:r>
      <w:r>
        <w:rPr>
          <w:rFonts w:hint="eastAsia" w:ascii="宋体" w:hAnsi="宋体"/>
        </w:rPr>
        <w:t>、</w:t>
      </w:r>
      <w:r>
        <w:rPr>
          <w:rFonts w:ascii="宋体" w:hAnsi="宋体"/>
        </w:rPr>
        <w:t>乙方的违约责任</w:t>
      </w:r>
    </w:p>
    <w:p>
      <w:pPr>
        <w:spacing w:line="360" w:lineRule="auto"/>
        <w:ind w:firstLine="420" w:firstLineChars="200"/>
        <w:rPr>
          <w:rFonts w:ascii="宋体" w:hAnsi="宋体"/>
        </w:rPr>
      </w:pPr>
      <w:r>
        <w:rPr>
          <w:rFonts w:ascii="宋体" w:hAnsi="宋体"/>
        </w:rPr>
        <w:t>12.1</w:t>
      </w:r>
      <w:r>
        <w:rPr>
          <w:rFonts w:hint="eastAsia" w:ascii="宋体" w:hAnsi="宋体"/>
        </w:rPr>
        <w:t xml:space="preserve"> </w:t>
      </w:r>
      <w:r>
        <w:rPr>
          <w:rFonts w:ascii="宋体" w:hAnsi="宋体"/>
        </w:rPr>
        <w:t>乙方未按合同规定的质量要求交货，甲方有权拒收，由此造成的直接损失和间接损失由乙方赔偿。</w:t>
      </w:r>
    </w:p>
    <w:p>
      <w:pPr>
        <w:spacing w:line="360" w:lineRule="auto"/>
        <w:ind w:firstLine="420" w:firstLineChars="200"/>
        <w:rPr>
          <w:rFonts w:ascii="宋体" w:hAnsi="宋体"/>
        </w:rPr>
      </w:pPr>
      <w:r>
        <w:rPr>
          <w:rFonts w:ascii="宋体" w:hAnsi="宋体"/>
        </w:rPr>
        <w:t>12.2</w:t>
      </w:r>
      <w:r>
        <w:rPr>
          <w:rFonts w:hint="eastAsia" w:ascii="宋体" w:hAnsi="宋体"/>
        </w:rPr>
        <w:t xml:space="preserve"> </w:t>
      </w:r>
      <w:r>
        <w:rPr>
          <w:rFonts w:ascii="宋体" w:hAnsi="宋体"/>
        </w:rPr>
        <w:t>乙方逾期交付（包括整修、返工、补交或由甲方提出更改、乙方承诺，但未在承诺的工期内完成等）应向甲方偿付违约金，每逾期1天，按合同总价的万分之五偿付违约金。</w:t>
      </w:r>
    </w:p>
    <w:p>
      <w:pPr>
        <w:spacing w:line="360" w:lineRule="auto"/>
        <w:ind w:firstLine="420" w:firstLineChars="200"/>
        <w:rPr>
          <w:rFonts w:ascii="宋体" w:hAnsi="宋体"/>
        </w:rPr>
      </w:pPr>
      <w:r>
        <w:rPr>
          <w:rFonts w:ascii="宋体" w:hAnsi="宋体"/>
        </w:rPr>
        <w:t>12.3 乙方不能交付或不能完成合同，乙方双倍返还甲方已支付的货款。</w:t>
      </w:r>
    </w:p>
    <w:p>
      <w:pPr>
        <w:spacing w:line="360" w:lineRule="auto"/>
        <w:ind w:firstLine="420" w:firstLineChars="200"/>
        <w:rPr>
          <w:rFonts w:ascii="宋体" w:hAnsi="宋体"/>
        </w:rPr>
      </w:pPr>
      <w:r>
        <w:rPr>
          <w:rFonts w:ascii="宋体" w:hAnsi="宋体"/>
        </w:rPr>
        <w:t>12.4</w:t>
      </w:r>
      <w:r>
        <w:rPr>
          <w:rFonts w:hint="eastAsia" w:ascii="宋体" w:hAnsi="宋体"/>
        </w:rPr>
        <w:t xml:space="preserve"> </w:t>
      </w:r>
      <w:r>
        <w:rPr>
          <w:rFonts w:ascii="宋体" w:hAnsi="宋体"/>
        </w:rPr>
        <w:t>本合同所有货物的制造及安装，都必须由乙方自己或响应文件中明确的单位承担，不得分包给其他单位。否则，甲方有权按乙方不能交付或不能完成合同处理。</w:t>
      </w:r>
    </w:p>
    <w:p>
      <w:pPr>
        <w:spacing w:line="360" w:lineRule="auto"/>
        <w:ind w:firstLine="420" w:firstLineChars="200"/>
        <w:rPr>
          <w:rFonts w:ascii="宋体" w:hAnsi="宋体"/>
        </w:rPr>
      </w:pPr>
      <w:r>
        <w:rPr>
          <w:rFonts w:ascii="宋体" w:hAnsi="宋体"/>
        </w:rPr>
        <w:t>12.5 乙方履行义务不符合合同约定时，甲方将扣减</w:t>
      </w:r>
      <w:r>
        <w:rPr>
          <w:rFonts w:hint="eastAsia" w:ascii="宋体" w:hAnsi="宋体"/>
        </w:rPr>
        <w:t>10</w:t>
      </w:r>
      <w:r>
        <w:rPr>
          <w:rFonts w:ascii="宋体" w:hAnsi="宋体"/>
        </w:rPr>
        <w:t>%尾款。</w:t>
      </w:r>
    </w:p>
    <w:p>
      <w:pPr>
        <w:spacing w:line="360" w:lineRule="auto"/>
        <w:ind w:firstLine="420" w:firstLineChars="200"/>
        <w:rPr>
          <w:rFonts w:ascii="宋体" w:hAnsi="宋体"/>
        </w:rPr>
      </w:pPr>
      <w:r>
        <w:rPr>
          <w:rFonts w:ascii="宋体" w:hAnsi="宋体"/>
        </w:rPr>
        <w:t>13</w:t>
      </w:r>
      <w:r>
        <w:rPr>
          <w:rFonts w:hint="eastAsia" w:ascii="宋体" w:hAnsi="宋体"/>
        </w:rPr>
        <w:t>、</w:t>
      </w:r>
      <w:r>
        <w:rPr>
          <w:rFonts w:ascii="宋体" w:hAnsi="宋体"/>
        </w:rPr>
        <w:t>甲方的违约责任：甲方未按合同规定的时间和要求向乙方提供相关安装条件等，乙方交付时间顺延。</w:t>
      </w:r>
    </w:p>
    <w:p>
      <w:pPr>
        <w:spacing w:line="360" w:lineRule="auto"/>
        <w:ind w:firstLine="420" w:firstLineChars="200"/>
        <w:rPr>
          <w:rFonts w:ascii="宋体" w:hAnsi="宋体"/>
        </w:rPr>
        <w:sectPr>
          <w:footerReference r:id="rId13" w:type="default"/>
          <w:pgSz w:w="11906" w:h="16838"/>
          <w:pgMar w:top="1440" w:right="1440" w:bottom="1440" w:left="1440" w:header="1191" w:footer="964" w:gutter="0"/>
          <w:pgNumType w:fmt="decimal"/>
          <w:cols w:space="720" w:num="1"/>
          <w:docGrid w:type="lines" w:linePitch="312" w:charSpace="0"/>
        </w:sectPr>
      </w:pPr>
    </w:p>
    <w:p>
      <w:pPr>
        <w:spacing w:line="360" w:lineRule="auto"/>
        <w:ind w:firstLine="420" w:firstLineChars="200"/>
        <w:rPr>
          <w:rFonts w:ascii="宋体" w:hAnsi="宋体"/>
        </w:rPr>
      </w:pPr>
      <w:r>
        <w:rPr>
          <w:rFonts w:ascii="宋体" w:hAnsi="宋体"/>
        </w:rPr>
        <w:t>14</w:t>
      </w:r>
      <w:r>
        <w:rPr>
          <w:rFonts w:hint="eastAsia" w:ascii="宋体" w:hAnsi="宋体"/>
        </w:rPr>
        <w:t>、</w:t>
      </w:r>
      <w:r>
        <w:rPr>
          <w:rFonts w:ascii="宋体" w:hAnsi="宋体"/>
        </w:rPr>
        <w:t>乙方供给甲方的设备、材料及乙方自己的施工用具，进入甲方工地现场后的保管，由乙方负责；乙方在甲方工地现场安装、调试、验收人员的安全、保险、食宿、交通由乙方负责。</w:t>
      </w:r>
    </w:p>
    <w:p>
      <w:pPr>
        <w:spacing w:line="360" w:lineRule="auto"/>
        <w:ind w:firstLine="420" w:firstLineChars="200"/>
        <w:rPr>
          <w:rFonts w:ascii="宋体" w:hAnsi="宋体"/>
        </w:rPr>
      </w:pPr>
      <w:r>
        <w:rPr>
          <w:rFonts w:ascii="宋体" w:hAnsi="宋体"/>
        </w:rPr>
        <w:t>15</w:t>
      </w:r>
      <w:r>
        <w:rPr>
          <w:rFonts w:hint="eastAsia" w:ascii="宋体" w:hAnsi="宋体"/>
        </w:rPr>
        <w:t>、</w:t>
      </w:r>
      <w:r>
        <w:rPr>
          <w:rFonts w:ascii="宋体" w:hAnsi="宋体"/>
        </w:rPr>
        <w:t>乙方在设备安装、调试过程中，甲方提供</w:t>
      </w:r>
      <w:r>
        <w:rPr>
          <w:rFonts w:hint="eastAsia" w:ascii="宋体" w:hAnsi="宋体"/>
        </w:rPr>
        <w:t>必要的</w:t>
      </w:r>
      <w:r>
        <w:rPr>
          <w:rFonts w:ascii="宋体" w:hAnsi="宋体"/>
        </w:rPr>
        <w:t>条件和配合</w:t>
      </w:r>
      <w:r>
        <w:rPr>
          <w:rFonts w:hint="eastAsia" w:ascii="宋体" w:hAnsi="宋体"/>
        </w:rPr>
        <w:t>。</w:t>
      </w:r>
    </w:p>
    <w:p>
      <w:pPr>
        <w:spacing w:line="360" w:lineRule="auto"/>
        <w:ind w:firstLine="420" w:firstLineChars="200"/>
        <w:rPr>
          <w:rFonts w:ascii="宋体" w:hAnsi="宋体"/>
        </w:rPr>
      </w:pPr>
      <w:r>
        <w:rPr>
          <w:rFonts w:ascii="宋体" w:hAnsi="宋体"/>
        </w:rPr>
        <w:t>16</w:t>
      </w:r>
      <w:r>
        <w:rPr>
          <w:rFonts w:hint="eastAsia" w:ascii="宋体" w:hAnsi="宋体"/>
        </w:rPr>
        <w:t>、</w:t>
      </w:r>
      <w:r>
        <w:rPr>
          <w:rFonts w:ascii="宋体" w:hAnsi="宋体"/>
        </w:rPr>
        <w:t>甲方使用乙方提供的设备，当受到第三方提出的侵犯其专利权、商标权或工业设计权的起诉时，一切后果由乙方负责。</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第三条 合同的变更和终止</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1、除《政府采购法》第50条第二款规定的情形外，本合同一经签订，甲乙双方不得擅自变更、中止或终止合同。</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2、除发生法律规定的不能预见、不能避免并不能克服的客观情况外，甲乙双方不得放弃或拒绝履行合同。乙方放弃或拒绝履行合同，在三年内不得参加江苏国采工程咨询有限公司组织的采购活动。</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第四条 合同的转让</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乙方不得擅自部分或全部转让其应履行的合同义务。</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第五条 争议的解决</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1、因履行本合同引起的或与本合同有关的争议，甲、乙双方应首先通过友好协商解决，如果协商不能解决争议，则采取以下第（</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）种方式解决争议：</w:t>
      </w:r>
    </w:p>
    <w:p>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（1）向甲方所在地有管辖权的人民法院提起诉讼；</w:t>
      </w:r>
    </w:p>
    <w:p>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（2）向南京仲裁委员会按其仲裁规则申请仲裁。</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、在诉讼期间，本合同应继续履行。</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第六条 诚实信用</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乙方应诚实信用，严格按照采购文件要求和承诺履行合同，不向甲方进行商业贿赂或者提供不正当利益。</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第七条 合同生效及其他</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1、本合同自签订之日起生效。</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2、本合同一式四份，甲乙双方各执两份。</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3、本合同应按照中华人民共和国的现行法律进行解释。</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（以下无正文）</w:t>
      </w:r>
    </w:p>
    <w:tbl>
      <w:tblPr>
        <w:tblStyle w:val="45"/>
        <w:tblW w:w="9286" w:type="dxa"/>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甲方：（盖章）</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乙方：（盖章）</w:t>
            </w:r>
          </w:p>
        </w:tc>
      </w:tr>
      <w:tr>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法定代表人或委托代表人</w:t>
            </w:r>
            <w:r>
              <w:rPr>
                <w:rFonts w:hint="eastAsia" w:cs="宋体" w:asciiTheme="minorEastAsia" w:hAnsiTheme="minorEastAsia" w:eastAsiaTheme="minorEastAsia"/>
                <w:kern w:val="0"/>
                <w:szCs w:val="21"/>
              </w:rPr>
              <w:t>：：</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法定或委托代表人</w:t>
            </w:r>
            <w:r>
              <w:rPr>
                <w:rFonts w:hint="eastAsia" w:cs="宋体" w:asciiTheme="minorEastAsia" w:hAnsiTheme="minorEastAsia" w:eastAsiaTheme="minorEastAsia"/>
                <w:kern w:val="0"/>
                <w:szCs w:val="21"/>
              </w:rPr>
              <w:t>：</w:t>
            </w:r>
          </w:p>
        </w:tc>
      </w:tr>
      <w:tr>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r>
      <w:tr>
        <w:trPr>
          <w:trHeight w:val="283"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r>
      <w:tr>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r>
      <w:tr>
        <w:trPr>
          <w:trHeight w:val="57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r>
    </w:tbl>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w:t>
      </w:r>
    </w:p>
    <w:p/>
    <w:p/>
    <w:p/>
    <w:p/>
    <w:p/>
    <w:p/>
    <w:p/>
    <w:p/>
    <w:p/>
    <w:p/>
    <w:p/>
    <w:p/>
    <w:p/>
    <w:p/>
    <w:p/>
    <w:p/>
    <w:p/>
    <w:p/>
    <w:p/>
    <w:p/>
    <w:p/>
    <w:p/>
    <w:p/>
    <w:p/>
    <w:p/>
    <w:p/>
    <w:p/>
    <w:p/>
    <w:p/>
    <w:p/>
    <w:p/>
    <w:p/>
    <w:p/>
    <w:p/>
    <w:p/>
    <w:p/>
    <w:p/>
    <w:p/>
    <w:p>
      <w:pPr>
        <w:pStyle w:val="4"/>
        <w:numPr>
          <w:ilvl w:val="0"/>
          <w:numId w:val="0"/>
        </w:numPr>
      </w:pPr>
      <w:r>
        <w:rPr>
          <w:rFonts w:hint="eastAsia"/>
        </w:rPr>
        <w:t>第六章 附件</w:t>
      </w:r>
      <w:bookmarkEnd w:id="41"/>
      <w:bookmarkEnd w:id="42"/>
    </w:p>
    <w:p>
      <w:pPr>
        <w:widowControl/>
        <w:adjustRightInd w:val="0"/>
        <w:spacing w:line="240" w:lineRule="atLeast"/>
        <w:jc w:val="left"/>
        <w:rPr>
          <w:rFonts w:ascii="宋体" w:hAnsi="宋体"/>
          <w:b/>
          <w:bCs/>
          <w:szCs w:val="21"/>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32"/>
          <w:szCs w:val="32"/>
        </w:rPr>
      </w:pPr>
    </w:p>
    <w:p>
      <w:pPr>
        <w:jc w:val="center"/>
        <w:rPr>
          <w:rFonts w:eastAsia="黑体"/>
          <w:sz w:val="32"/>
          <w:szCs w:val="32"/>
        </w:rPr>
      </w:pPr>
      <w:r>
        <w:rPr>
          <w:rFonts w:eastAsia="黑体"/>
          <w:sz w:val="32"/>
          <w:szCs w:val="32"/>
        </w:rPr>
        <w:t>（项目名称）</w:t>
      </w:r>
    </w:p>
    <w:p>
      <w:pPr>
        <w:jc w:val="center"/>
        <w:rPr>
          <w:rFonts w:eastAsia="黑体"/>
          <w:sz w:val="32"/>
          <w:szCs w:val="32"/>
        </w:rPr>
      </w:pPr>
    </w:p>
    <w:p>
      <w:pPr>
        <w:rPr>
          <w:rFonts w:eastAsia="黑体"/>
          <w:sz w:val="32"/>
          <w:szCs w:val="32"/>
        </w:rPr>
      </w:pPr>
    </w:p>
    <w:p>
      <w:pPr>
        <w:jc w:val="center"/>
        <w:rPr>
          <w:rFonts w:eastAsia="黑体"/>
          <w:sz w:val="32"/>
          <w:szCs w:val="32"/>
        </w:rPr>
      </w:pPr>
      <w:r>
        <w:rPr>
          <w:rFonts w:eastAsia="黑体"/>
          <w:sz w:val="32"/>
          <w:szCs w:val="32"/>
        </w:rPr>
        <w:t>投标文件</w:t>
      </w: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asciiTheme="minorEastAsia" w:hAnsiTheme="minorEastAsia" w:eastAsiaTheme="minorEastAsia"/>
          <w:sz w:val="32"/>
          <w:szCs w:val="32"/>
        </w:rPr>
      </w:pPr>
    </w:p>
    <w:p>
      <w:pPr>
        <w:jc w:val="center"/>
        <w:rPr>
          <w:rFonts w:asciiTheme="minorEastAsia" w:hAnsiTheme="minorEastAsia" w:eastAsiaTheme="minorEastAsia"/>
          <w:b/>
          <w:bCs/>
          <w:sz w:val="32"/>
          <w:szCs w:val="32"/>
          <w:u w:val="single"/>
        </w:rPr>
      </w:pPr>
      <w:r>
        <w:rPr>
          <w:rFonts w:asciiTheme="minorEastAsia" w:hAnsiTheme="minorEastAsia" w:eastAsiaTheme="minorEastAsia"/>
          <w:b/>
          <w:bCs/>
          <w:sz w:val="32"/>
          <w:szCs w:val="32"/>
        </w:rPr>
        <w:t>投标人：（盖单位章）</w:t>
      </w:r>
    </w:p>
    <w:p>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法定代表人或其委托代理人：（签字</w:t>
      </w:r>
      <w:r>
        <w:rPr>
          <w:rFonts w:hint="eastAsia" w:asciiTheme="minorEastAsia" w:hAnsiTheme="minorEastAsia" w:eastAsiaTheme="minorEastAsia"/>
          <w:b/>
          <w:bCs/>
          <w:sz w:val="32"/>
          <w:szCs w:val="32"/>
        </w:rPr>
        <w:t>或签章</w:t>
      </w:r>
      <w:r>
        <w:rPr>
          <w:rFonts w:asciiTheme="minorEastAsia" w:hAnsiTheme="minorEastAsia" w:eastAsiaTheme="minorEastAsia"/>
          <w:b/>
          <w:bCs/>
          <w:sz w:val="32"/>
          <w:szCs w:val="32"/>
        </w:rPr>
        <w:t>）</w:t>
      </w:r>
    </w:p>
    <w:p>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年</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月</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日</w:t>
      </w:r>
      <w:r>
        <w:rPr>
          <w:rFonts w:hint="eastAsia" w:asciiTheme="minorEastAsia" w:hAnsiTheme="minorEastAsia" w:eastAsiaTheme="minorEastAsia"/>
          <w:b/>
          <w:bCs/>
          <w:sz w:val="32"/>
          <w:szCs w:val="32"/>
        </w:rPr>
        <w:t xml:space="preserve"> </w:t>
      </w:r>
    </w:p>
    <w:p>
      <w:pPr>
        <w:jc w:val="cente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spacing w:before="312" w:beforeLines="100" w:after="312" w:afterLines="100"/>
        <w:jc w:val="center"/>
        <w:rPr>
          <w:rFonts w:asciiTheme="minorEastAsia" w:hAnsiTheme="minorEastAsia" w:eastAsiaTheme="minorEastAsia"/>
          <w:sz w:val="32"/>
          <w:szCs w:val="32"/>
        </w:rPr>
      </w:pPr>
      <w:r>
        <w:rPr>
          <w:rFonts w:asciiTheme="minorEastAsia" w:hAnsiTheme="minorEastAsia" w:eastAsiaTheme="minorEastAsia"/>
          <w:sz w:val="32"/>
          <w:szCs w:val="32"/>
        </w:rPr>
        <w:t>目录</w:t>
      </w:r>
    </w:p>
    <w:p>
      <w:pPr>
        <w:jc w:val="center"/>
        <w:rPr>
          <w:rFonts w:asciiTheme="minorEastAsia" w:hAnsiTheme="minorEastAsia" w:eastAsiaTheme="minorEastAsia"/>
          <w:sz w:val="24"/>
        </w:rPr>
      </w:pPr>
      <w:bookmarkStart w:id="43" w:name="_Hlk66377770"/>
      <w:r>
        <w:rPr>
          <w:rFonts w:hint="eastAsia" w:asciiTheme="minorEastAsia" w:hAnsiTheme="minorEastAsia" w:eastAsiaTheme="minorEastAsia"/>
          <w:sz w:val="24"/>
        </w:rPr>
        <w:t>注：投标人根据投标文件编制顺序制作目录（须生成页码）</w:t>
      </w:r>
    </w:p>
    <w:bookmarkEnd w:id="43"/>
    <w:p>
      <w:r>
        <w:rPr>
          <w:rFonts w:hint="eastAsia"/>
        </w:rPr>
        <w:br w:type="page"/>
      </w:r>
    </w:p>
    <w:p>
      <w:pPr>
        <w:pStyle w:val="56"/>
        <w:jc w:val="center"/>
        <w:rPr>
          <w:b/>
          <w:bCs/>
          <w:sz w:val="28"/>
          <w:szCs w:val="28"/>
        </w:rPr>
      </w:pPr>
      <w:bookmarkStart w:id="44" w:name="_Hlk66377786"/>
      <w:r>
        <w:rPr>
          <w:rFonts w:hint="eastAsia"/>
          <w:b/>
          <w:bCs/>
          <w:sz w:val="28"/>
          <w:szCs w:val="28"/>
        </w:rPr>
        <w:t>评分索引表（可根据评分标准进行编写）</w:t>
      </w:r>
    </w:p>
    <w:bookmarkEnd w:id="44"/>
    <w:tbl>
      <w:tblPr>
        <w:tblStyle w:val="4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1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2" w:type="dxa"/>
            <w:vAlign w:val="center"/>
          </w:tcPr>
          <w:p>
            <w:pPr>
              <w:pStyle w:val="54"/>
              <w:spacing w:before="120" w:after="120" w:line="265" w:lineRule="atLeast"/>
              <w:ind w:firstLine="422"/>
              <w:rPr>
                <w:rFonts w:ascii="宋体" w:hAnsi="宋体"/>
                <w:b/>
                <w:bCs/>
                <w:szCs w:val="21"/>
              </w:rPr>
            </w:pPr>
            <w:r>
              <w:rPr>
                <w:rFonts w:hint="eastAsia" w:ascii="宋体" w:hAnsi="宋体"/>
                <w:b/>
                <w:szCs w:val="21"/>
              </w:rPr>
              <w:t>序号</w:t>
            </w:r>
          </w:p>
        </w:tc>
        <w:tc>
          <w:tcPr>
            <w:tcW w:w="5102" w:type="dxa"/>
            <w:vAlign w:val="center"/>
          </w:tcPr>
          <w:p>
            <w:pPr>
              <w:jc w:val="center"/>
              <w:rPr>
                <w:rFonts w:ascii="宋体" w:hAnsi="宋体"/>
                <w:b/>
                <w:szCs w:val="21"/>
              </w:rPr>
            </w:pPr>
            <w:r>
              <w:rPr>
                <w:rFonts w:hint="eastAsia" w:ascii="宋体" w:hAnsi="宋体"/>
                <w:b/>
                <w:szCs w:val="21"/>
              </w:rPr>
              <w:t>评审因素</w:t>
            </w:r>
          </w:p>
        </w:tc>
        <w:tc>
          <w:tcPr>
            <w:tcW w:w="2127" w:type="dxa"/>
            <w:vAlign w:val="center"/>
          </w:tcPr>
          <w:p>
            <w:pPr>
              <w:jc w:val="center"/>
              <w:rPr>
                <w:rFonts w:ascii="宋体" w:hAnsi="宋体"/>
                <w:b/>
                <w:szCs w:val="21"/>
                <w:lang w:bidi="en-US"/>
              </w:rPr>
            </w:pPr>
            <w:r>
              <w:rPr>
                <w:rFonts w:hint="eastAsia" w:ascii="宋体" w:hAnsi="宋体"/>
                <w:b/>
                <w:szCs w:val="21"/>
                <w:lang w:bidi="en-US"/>
              </w:rPr>
              <w:t>在投标文件中的</w:t>
            </w:r>
          </w:p>
          <w:p>
            <w:pPr>
              <w:jc w:val="center"/>
              <w:rPr>
                <w:rFonts w:ascii="宋体" w:hAnsi="宋体"/>
                <w:b/>
                <w:szCs w:val="21"/>
                <w:lang w:bidi="en-US"/>
              </w:rPr>
            </w:pPr>
            <w:r>
              <w:rPr>
                <w:rFonts w:hint="eastAsia" w:ascii="宋体" w:hAnsi="宋体"/>
                <w:b/>
                <w:szCs w:val="21"/>
                <w:lang w:bidi="en-US"/>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2" w:type="dxa"/>
            <w:vAlign w:val="center"/>
          </w:tcPr>
          <w:p>
            <w:pPr>
              <w:pStyle w:val="54"/>
              <w:spacing w:before="120" w:after="120" w:line="265" w:lineRule="atLeast"/>
              <w:ind w:left="1442" w:firstLine="422"/>
              <w:jc w:val="center"/>
              <w:rPr>
                <w:rFonts w:ascii="宋体" w:hAnsi="宋体"/>
                <w:b/>
              </w:rPr>
            </w:pPr>
          </w:p>
        </w:tc>
        <w:tc>
          <w:tcPr>
            <w:tcW w:w="5102" w:type="dxa"/>
            <w:vAlign w:val="center"/>
          </w:tcPr>
          <w:p>
            <w:pPr>
              <w:jc w:val="center"/>
              <w:rPr>
                <w:rFonts w:ascii="宋体" w:hAnsi="宋体"/>
                <w:b/>
                <w:sz w:val="24"/>
                <w:lang w:bidi="en-US"/>
              </w:rPr>
            </w:pPr>
          </w:p>
        </w:tc>
        <w:tc>
          <w:tcPr>
            <w:tcW w:w="2127" w:type="dxa"/>
            <w:vAlign w:val="center"/>
          </w:tcPr>
          <w:p>
            <w:pPr>
              <w:jc w:val="center"/>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pPr>
              <w:pStyle w:val="54"/>
              <w:spacing w:before="120" w:after="120" w:line="265" w:lineRule="atLeast"/>
              <w:ind w:left="1442" w:firstLine="422"/>
              <w:jc w:val="center"/>
              <w:rPr>
                <w:rFonts w:ascii="宋体" w:hAnsi="宋体"/>
                <w:b/>
                <w:bCs/>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pPr>
              <w:pStyle w:val="54"/>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pPr>
              <w:pStyle w:val="54"/>
              <w:spacing w:before="120" w:after="120" w:line="265" w:lineRule="atLeast"/>
              <w:ind w:left="1442" w:firstLine="422"/>
              <w:jc w:val="center"/>
              <w:rPr>
                <w:rFonts w:ascii="宋体" w:hAnsi="宋体"/>
                <w:b/>
                <w:bCs/>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bl>
    <w:p>
      <w:pPr>
        <w:autoSpaceDE w:val="0"/>
        <w:autoSpaceDN w:val="0"/>
        <w:adjustRightInd w:val="0"/>
        <w:spacing w:line="360" w:lineRule="auto"/>
        <w:rPr>
          <w:rFonts w:ascii="宋体" w:hAnsi="宋体"/>
          <w:b/>
        </w:rPr>
      </w:pPr>
    </w:p>
    <w:p/>
    <w:p/>
    <w:p/>
    <w:p/>
    <w:p/>
    <w:p/>
    <w:p/>
    <w:p/>
    <w:p/>
    <w:p/>
    <w:p/>
    <w:p/>
    <w:p/>
    <w:p>
      <w:pPr>
        <w:pStyle w:val="5"/>
      </w:pPr>
      <w:bookmarkStart w:id="45" w:name="_Toc43917771"/>
      <w:bookmarkStart w:id="46" w:name="_Toc66375424"/>
      <w:r>
        <w:rPr>
          <w:rFonts w:hint="eastAsia"/>
        </w:rPr>
        <w:t>附件一、投标申请及声明格式</w:t>
      </w:r>
      <w:bookmarkEnd w:id="45"/>
      <w:bookmarkEnd w:id="46"/>
    </w:p>
    <w:p>
      <w:pPr>
        <w:widowControl/>
        <w:shd w:val="clear" w:color="auto" w:fill="FFFFFF"/>
        <w:spacing w:line="360" w:lineRule="auto"/>
        <w:jc w:val="center"/>
        <w:rPr>
          <w:rFonts w:ascii="宋体" w:hAnsi="宋体"/>
          <w:b/>
          <w:kern w:val="0"/>
          <w:sz w:val="32"/>
          <w:szCs w:val="32"/>
        </w:rPr>
      </w:pPr>
      <w:r>
        <w:rPr>
          <w:rFonts w:hint="eastAsia" w:ascii="宋体" w:hAnsi="宋体"/>
          <w:b/>
          <w:kern w:val="0"/>
          <w:sz w:val="32"/>
          <w:szCs w:val="32"/>
        </w:rPr>
        <w:t>投标申请及声明</w:t>
      </w:r>
    </w:p>
    <w:p>
      <w:pPr>
        <w:widowControl/>
        <w:shd w:val="clear" w:color="auto" w:fill="FFFFFF"/>
        <w:spacing w:line="360" w:lineRule="auto"/>
        <w:jc w:val="center"/>
        <w:rPr>
          <w:rFonts w:ascii="宋体" w:hAnsi="宋体"/>
          <w:b/>
          <w:kern w:val="0"/>
          <w:szCs w:val="21"/>
        </w:rPr>
      </w:pPr>
    </w:p>
    <w:p>
      <w:pPr>
        <w:widowControl/>
        <w:shd w:val="clear" w:color="auto" w:fill="FFFFFF"/>
        <w:spacing w:line="360" w:lineRule="auto"/>
        <w:rPr>
          <w:rFonts w:ascii="宋体" w:hAnsi="宋体"/>
          <w:kern w:val="0"/>
          <w:szCs w:val="21"/>
        </w:rPr>
      </w:pPr>
      <w:r>
        <w:rPr>
          <w:rFonts w:hint="eastAsia" w:ascii="宋体" w:hAnsi="宋体"/>
          <w:kern w:val="0"/>
          <w:szCs w:val="21"/>
        </w:rPr>
        <w:t> 致：南京旅游职业学院</w:t>
      </w:r>
    </w:p>
    <w:p>
      <w:pPr>
        <w:widowControl/>
        <w:shd w:val="clear" w:color="auto" w:fill="FFFFFF"/>
        <w:spacing w:line="360" w:lineRule="auto"/>
        <w:ind w:firstLine="630" w:firstLineChars="300"/>
        <w:rPr>
          <w:rFonts w:ascii="宋体" w:hAnsi="宋体"/>
          <w:kern w:val="0"/>
          <w:szCs w:val="21"/>
        </w:rPr>
      </w:pPr>
      <w:r>
        <w:rPr>
          <w:rFonts w:hint="eastAsia" w:ascii="宋体" w:hAnsi="宋体"/>
          <w:kern w:val="0"/>
          <w:szCs w:val="21"/>
        </w:rPr>
        <w:t>江苏国采工程咨询有限公司</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Cs/>
          <w:kern w:val="0"/>
          <w:szCs w:val="21"/>
          <w:u w:val="single"/>
        </w:rPr>
        <w:t>（</w:t>
      </w:r>
      <w:r>
        <w:rPr>
          <w:rFonts w:hint="eastAsia" w:ascii="宋体" w:hAnsi="宋体"/>
          <w:kern w:val="0"/>
          <w:szCs w:val="21"/>
        </w:rPr>
        <w:t>项目名称） </w:t>
      </w:r>
      <w:r>
        <w:rPr>
          <w:rFonts w:hint="eastAsia" w:ascii="宋体" w:hAnsi="宋体"/>
          <w:kern w:val="0"/>
          <w:szCs w:val="21"/>
          <w:u w:val="single"/>
        </w:rPr>
        <w:t>       </w:t>
      </w:r>
      <w:r>
        <w:rPr>
          <w:rFonts w:hint="eastAsia" w:ascii="宋体" w:hAnsi="宋体"/>
          <w:kern w:val="0"/>
          <w:szCs w:val="21"/>
        </w:rPr>
        <w:t>（项目编号）投标邀请，正式授权下述签字人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我们的资格条件完全符合政府采购法和本次采购要求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u w:val="single"/>
        </w:rPr>
      </w:pPr>
      <w:r>
        <w:rPr>
          <w:rFonts w:ascii="宋体" w:hAnsi="宋体"/>
          <w:kern w:val="0"/>
          <w:szCs w:val="21"/>
        </w:rPr>
        <w:t>2、</w:t>
      </w:r>
      <w:r>
        <w:rPr>
          <w:rFonts w:hint="eastAsia" w:ascii="宋体" w:hAnsi="宋体"/>
          <w:kern w:val="0"/>
          <w:szCs w:val="21"/>
        </w:rPr>
        <w:t>按</w:t>
      </w:r>
      <w:r>
        <w:rPr>
          <w:rFonts w:hint="eastAsia" w:ascii="宋体" w:hAnsi="宋体"/>
        </w:rPr>
        <w:t>采购</w:t>
      </w:r>
      <w:r>
        <w:rPr>
          <w:rFonts w:hint="eastAsia" w:ascii="宋体" w:hAnsi="宋体"/>
          <w:kern w:val="0"/>
          <w:szCs w:val="21"/>
        </w:rPr>
        <w:t xml:space="preserve">要求，我们的投标报价为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万元。</w:t>
      </w:r>
    </w:p>
    <w:p>
      <w:pPr>
        <w:widowControl/>
        <w:shd w:val="clear" w:color="auto" w:fill="FFFFFF"/>
        <w:spacing w:line="360" w:lineRule="auto"/>
        <w:ind w:left="1470" w:hanging="1050"/>
        <w:rPr>
          <w:rFonts w:ascii="宋体" w:hAnsi="宋体"/>
          <w:kern w:val="0"/>
          <w:szCs w:val="21"/>
        </w:rPr>
      </w:pPr>
      <w:r>
        <w:rPr>
          <w:rFonts w:hint="eastAsia" w:ascii="宋体" w:hAnsi="宋体"/>
          <w:kern w:val="0"/>
          <w:szCs w:val="21"/>
        </w:rPr>
        <w:t>3、</w:t>
      </w:r>
      <w:bookmarkStart w:id="47" w:name="_Hlk44577678"/>
      <w:r>
        <w:rPr>
          <w:rFonts w:hint="eastAsia" w:ascii="宋体" w:hAnsi="宋体"/>
          <w:kern w:val="0"/>
          <w:szCs w:val="21"/>
        </w:rPr>
        <w:t>本项目交付时间为：</w:t>
      </w:r>
      <w:r>
        <w:rPr>
          <w:rFonts w:hint="eastAsia" w:ascii="宋体" w:hAnsi="宋体"/>
          <w:kern w:val="0"/>
          <w:szCs w:val="21"/>
          <w:u w:val="single"/>
        </w:rPr>
        <w:t xml:space="preserve">  满足招标文件要求</w:t>
      </w:r>
      <w:r>
        <w:rPr>
          <w:rFonts w:hint="eastAsia" w:ascii="宋体" w:hAnsi="宋体"/>
          <w:kern w:val="0"/>
          <w:szCs w:val="21"/>
        </w:rPr>
        <w:t>。</w:t>
      </w:r>
      <w:bookmarkEnd w:id="47"/>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6、投标截止时间结束后参加投标的投标人不足三家的，或在评标期间出现符合专业条件的投标人或者对招标文件作出实质响应的投标人不足三家情形的，我们酌情决定是否参加当场变更的其它采购方式采购。</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7、一旦我方中标，我方将根据招标文件的规定严格履行合同，并保证于承诺的时间完成相关货物和配套服务，交付采购人验收、使用。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u w:val="single"/>
        </w:rPr>
      </w:pPr>
      <w:r>
        <w:rPr>
          <w:rFonts w:hint="eastAsia" w:ascii="宋体" w:hAnsi="宋体"/>
          <w:kern w:val="0"/>
          <w:szCs w:val="21"/>
        </w:rPr>
        <w:t>开户银行：</w:t>
      </w:r>
      <w:r>
        <w:rPr>
          <w:rFonts w:hint="eastAsia" w:ascii="宋体" w:hAnsi="宋体"/>
          <w:kern w:val="0"/>
          <w:szCs w:val="21"/>
          <w:u w:val="single"/>
        </w:rPr>
        <w:t xml:space="preserve"> </w:t>
      </w:r>
      <w:r>
        <w:rPr>
          <w:rFonts w:ascii="宋体" w:hAnsi="宋体"/>
          <w:kern w:val="0"/>
          <w:szCs w:val="21"/>
          <w:u w:val="single"/>
        </w:rPr>
        <w:t xml:space="preserve">                                              </w:t>
      </w:r>
    </w:p>
    <w:p>
      <w:pPr>
        <w:widowControl/>
        <w:shd w:val="clear" w:color="auto" w:fill="FFFFFF"/>
        <w:spacing w:line="360" w:lineRule="auto"/>
        <w:ind w:firstLine="420"/>
        <w:rPr>
          <w:rFonts w:ascii="宋体" w:hAnsi="宋体"/>
          <w:kern w:val="0"/>
          <w:szCs w:val="21"/>
          <w:u w:val="single"/>
        </w:rPr>
      </w:pPr>
      <w:r>
        <w:rPr>
          <w:rFonts w:hint="eastAsia" w:ascii="宋体" w:hAnsi="宋体"/>
          <w:kern w:val="0"/>
          <w:szCs w:val="21"/>
        </w:rPr>
        <w:t>银行账号：</w:t>
      </w:r>
      <w:r>
        <w:rPr>
          <w:rFonts w:hint="eastAsia" w:ascii="宋体" w:hAnsi="宋体"/>
          <w:kern w:val="0"/>
          <w:szCs w:val="21"/>
          <w:u w:val="single"/>
        </w:rPr>
        <w:t xml:space="preserve"> </w:t>
      </w:r>
      <w:r>
        <w:rPr>
          <w:rFonts w:ascii="宋体" w:hAnsi="宋体"/>
          <w:kern w:val="0"/>
          <w:szCs w:val="21"/>
          <w:u w:val="single"/>
        </w:rPr>
        <w:t xml:space="preserve">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投标人委托代理人姓名（签字或签章）：</w:t>
      </w:r>
      <w:r>
        <w:rPr>
          <w:rFonts w:hint="eastAsia" w:ascii="宋体" w:hAnsi="宋体"/>
          <w:kern w:val="0"/>
          <w:szCs w:val="21"/>
          <w:u w:val="single"/>
        </w:rPr>
        <w:t>       </w:t>
      </w:r>
      <w:r>
        <w:rPr>
          <w:rFonts w:ascii="宋体" w:hAnsi="宋体"/>
          <w:kern w:val="0"/>
          <w:szCs w:val="21"/>
          <w:u w:val="single"/>
        </w:rPr>
        <w:t xml:space="preserve">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shd w:val="clear" w:color="auto" w:fill="FFFFFF"/>
        <w:spacing w:line="360" w:lineRule="auto"/>
        <w:rPr>
          <w:rFonts w:ascii="宋体" w:hAnsi="宋体"/>
          <w:kern w:val="0"/>
          <w:szCs w:val="21"/>
        </w:rPr>
      </w:pPr>
      <w:r>
        <w:rPr>
          <w:rFonts w:hint="eastAsia" w:ascii="宋体" w:hAnsi="宋体"/>
          <w:kern w:val="0"/>
          <w:szCs w:val="21"/>
        </w:rPr>
        <w:br w:type="page"/>
      </w:r>
    </w:p>
    <w:p>
      <w:pPr>
        <w:pStyle w:val="5"/>
      </w:pPr>
      <w:bookmarkStart w:id="48" w:name="_Toc43917772"/>
      <w:bookmarkStart w:id="49" w:name="_Toc66375425"/>
      <w:r>
        <w:rPr>
          <w:rFonts w:hint="eastAsia"/>
        </w:rPr>
        <w:t>附件二、法定代表人授权委托书格式</w:t>
      </w:r>
      <w:bookmarkEnd w:id="48"/>
      <w:bookmarkEnd w:id="49"/>
    </w:p>
    <w:p>
      <w:pPr>
        <w:widowControl/>
        <w:shd w:val="clear" w:color="auto" w:fill="FFFFFF"/>
        <w:spacing w:line="360" w:lineRule="auto"/>
        <w:ind w:firstLine="720"/>
        <w:jc w:val="center"/>
        <w:rPr>
          <w:rFonts w:ascii="宋体" w:hAnsi="宋体"/>
          <w:kern w:val="0"/>
          <w:sz w:val="36"/>
          <w:szCs w:val="36"/>
        </w:rPr>
      </w:pPr>
    </w:p>
    <w:p>
      <w:pPr>
        <w:widowControl/>
        <w:shd w:val="clear" w:color="auto" w:fill="FFFFFF"/>
        <w:spacing w:line="360" w:lineRule="auto"/>
        <w:ind w:firstLine="720"/>
        <w:jc w:val="center"/>
        <w:rPr>
          <w:rFonts w:ascii="宋体" w:hAnsi="宋体"/>
          <w:b/>
          <w:kern w:val="0"/>
          <w:sz w:val="32"/>
          <w:szCs w:val="32"/>
        </w:rPr>
      </w:pPr>
      <w:r>
        <w:rPr>
          <w:rFonts w:hint="eastAsia" w:ascii="宋体" w:hAnsi="宋体"/>
          <w:b/>
          <w:kern w:val="0"/>
          <w:sz w:val="32"/>
          <w:szCs w:val="32"/>
        </w:rPr>
        <w:t>法定代表人授权委托书</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致：南京旅游职业学院</w:t>
      </w:r>
    </w:p>
    <w:p>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江苏国采工程咨询有限公司</w:t>
      </w:r>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本授权书声明：注册于</w:t>
      </w:r>
      <w:r>
        <w:rPr>
          <w:rFonts w:hint="eastAsia" w:ascii="宋体" w:hAnsi="宋体"/>
          <w:kern w:val="0"/>
          <w:szCs w:val="21"/>
          <w:u w:val="single"/>
        </w:rPr>
        <w:t>              </w:t>
      </w:r>
      <w:r>
        <w:rPr>
          <w:rFonts w:hint="eastAsia" w:ascii="宋体" w:hAnsi="宋体"/>
          <w:kern w:val="0"/>
          <w:szCs w:val="21"/>
        </w:rPr>
        <w:t>（投标人住址）的</w:t>
      </w:r>
      <w:r>
        <w:rPr>
          <w:rFonts w:hint="eastAsia" w:ascii="宋体" w:hAnsi="宋体"/>
          <w:kern w:val="0"/>
          <w:szCs w:val="21"/>
          <w:u w:val="single"/>
        </w:rPr>
        <w:t>      </w:t>
      </w:r>
      <w:r>
        <w:rPr>
          <w:rFonts w:hint="eastAsia" w:ascii="宋体" w:hAnsi="宋体"/>
          <w:kern w:val="0"/>
          <w:szCs w:val="21"/>
        </w:rPr>
        <w:t>（投标人名称）法定代表人</w:t>
      </w:r>
      <w:r>
        <w:rPr>
          <w:rFonts w:hint="eastAsia" w:ascii="宋体" w:hAnsi="宋体"/>
          <w:kern w:val="0"/>
          <w:szCs w:val="21"/>
          <w:u w:val="single"/>
        </w:rPr>
        <w:t>        </w:t>
      </w:r>
      <w:r>
        <w:rPr>
          <w:rFonts w:hint="eastAsia" w:ascii="宋体" w:hAnsi="宋体"/>
          <w:kern w:val="0"/>
          <w:szCs w:val="21"/>
        </w:rPr>
        <w:t>（法定代表人姓名、职务）代表本公司授权在下面签字的</w:t>
      </w:r>
      <w:r>
        <w:rPr>
          <w:rFonts w:hint="eastAsia" w:ascii="宋体" w:hAnsi="宋体"/>
          <w:kern w:val="0"/>
          <w:szCs w:val="21"/>
          <w:u w:val="single"/>
        </w:rPr>
        <w:t>        </w:t>
      </w:r>
      <w:r>
        <w:rPr>
          <w:rFonts w:hint="eastAsia" w:ascii="宋体" w:hAnsi="宋体"/>
          <w:kern w:val="0"/>
          <w:szCs w:val="21"/>
        </w:rPr>
        <w:t>（投标人代表姓名、职务）为本公司的合法代理人，就贵方组织的</w:t>
      </w:r>
      <w:r>
        <w:rPr>
          <w:rFonts w:hint="eastAsia" w:ascii="宋体" w:hAnsi="宋体"/>
          <w:b/>
          <w:bCs/>
          <w:kern w:val="0"/>
          <w:szCs w:val="21"/>
          <w:u w:val="single"/>
        </w:rPr>
        <w:t>          </w:t>
      </w:r>
      <w:r>
        <w:rPr>
          <w:rFonts w:hint="eastAsia" w:ascii="宋体" w:hAnsi="宋体"/>
          <w:kern w:val="0"/>
          <w:szCs w:val="21"/>
        </w:rPr>
        <w:t>（项目名称），</w:t>
      </w:r>
      <w:r>
        <w:rPr>
          <w:rFonts w:hint="eastAsia" w:ascii="宋体" w:hAnsi="宋体"/>
          <w:kern w:val="0"/>
          <w:szCs w:val="21"/>
          <w:u w:val="single"/>
        </w:rPr>
        <w:t>        </w:t>
      </w:r>
      <w:r>
        <w:rPr>
          <w:rFonts w:hint="eastAsia" w:ascii="宋体" w:hAnsi="宋体"/>
          <w:kern w:val="0"/>
          <w:szCs w:val="21"/>
        </w:rPr>
        <w:t>（项目编号）投标，以本公司名义处理一切与之有关的事务。</w:t>
      </w:r>
    </w:p>
    <w:p>
      <w:pPr>
        <w:widowControl/>
        <w:shd w:val="clear" w:color="auto" w:fill="FFFFFF"/>
        <w:spacing w:line="360" w:lineRule="auto"/>
        <w:jc w:val="left"/>
        <w:rPr>
          <w:rFonts w:ascii="宋体" w:hAnsi="宋体"/>
          <w:kern w:val="0"/>
          <w:szCs w:val="21"/>
        </w:rPr>
      </w:pPr>
      <w:r>
        <w:rPr>
          <w:rFonts w:hint="eastAsia" w:ascii="宋体" w:hAnsi="宋体"/>
          <w:kern w:val="0"/>
          <w:szCs w:val="21"/>
        </w:rPr>
        <w:t>    本授权书于    年  月  日签字或签章生效，特此声明。</w:t>
      </w:r>
    </w:p>
    <w:p>
      <w:pPr>
        <w:widowControl/>
        <w:shd w:val="clear" w:color="auto" w:fill="FFFFFF"/>
        <w:spacing w:line="360" w:lineRule="auto"/>
        <w:jc w:val="left"/>
        <w:rPr>
          <w:rFonts w:ascii="宋体" w:hAnsi="宋体"/>
          <w:kern w:val="0"/>
          <w:szCs w:val="21"/>
        </w:rPr>
      </w:pPr>
      <w:r>
        <w:rPr>
          <w:rFonts w:hint="eastAsia" w:ascii="宋体" w:hAnsi="宋体"/>
          <w:kern w:val="0"/>
          <w:szCs w:val="21"/>
        </w:rPr>
        <w:t>    法定代表人签字或签章：</w:t>
      </w:r>
    </w:p>
    <w:p>
      <w:pPr>
        <w:widowControl/>
        <w:shd w:val="clear" w:color="auto" w:fill="FFFFFF"/>
        <w:spacing w:line="360" w:lineRule="auto"/>
        <w:ind w:firstLine="825"/>
        <w:jc w:val="left"/>
        <w:rPr>
          <w:rFonts w:ascii="宋体" w:hAnsi="宋体"/>
          <w:kern w:val="0"/>
          <w:szCs w:val="21"/>
        </w:rPr>
      </w:pPr>
      <w:r>
        <w:rPr>
          <w:rFonts w:hint="eastAsia" w:ascii="宋体" w:hAnsi="宋体"/>
          <w:kern w:val="0"/>
          <w:szCs w:val="21"/>
        </w:rPr>
        <w:t>委托代理人签字或签章：                   </w:t>
      </w:r>
    </w:p>
    <w:p>
      <w:pPr>
        <w:widowControl/>
        <w:shd w:val="clear" w:color="auto" w:fill="FFFFFF"/>
        <w:spacing w:line="360" w:lineRule="auto"/>
        <w:ind w:firstLine="840" w:firstLineChars="400"/>
        <w:jc w:val="left"/>
        <w:rPr>
          <w:rFonts w:ascii="宋体" w:hAnsi="宋体"/>
          <w:kern w:val="0"/>
          <w:szCs w:val="21"/>
        </w:rPr>
      </w:pPr>
      <w:r>
        <w:rPr>
          <w:rFonts w:hint="eastAsia" w:ascii="宋体" w:hAnsi="宋体"/>
          <w:kern w:val="0"/>
          <w:szCs w:val="21"/>
        </w:rPr>
        <w:t>日     期：        年    月    日</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bookmarkStart w:id="50" w:name="_Hlk45291991"/>
      <w:r>
        <w:rPr>
          <w:rFonts w:hint="eastAsia" w:ascii="宋体" w:hAnsi="宋体"/>
          <w:kern w:val="0"/>
          <w:szCs w:val="21"/>
        </w:rPr>
        <w:t>法定代表人身份证的复印件:</w:t>
      </w:r>
    </w:p>
    <w:bookmarkEnd w:id="50"/>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r>
        <w:rPr>
          <w:rFonts w:hint="eastAsia" w:ascii="宋体" w:hAnsi="宋体"/>
          <w:kern w:val="0"/>
          <w:szCs w:val="21"/>
        </w:rPr>
        <w:t>委托代理人的身份证的复印件:</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pStyle w:val="5"/>
      </w:pPr>
      <w:bookmarkStart w:id="51" w:name="_Toc43917782"/>
      <w:bookmarkStart w:id="52" w:name="_Toc66375435"/>
      <w:r>
        <w:rPr>
          <w:rFonts w:hint="eastAsia"/>
        </w:rPr>
        <w:t>附件三、资格证明文件</w:t>
      </w:r>
      <w:bookmarkEnd w:id="51"/>
      <w:bookmarkEnd w:id="52"/>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第一章 招标公告（投标邀请）2.1《中华人民共和国政府采购法》规定的资格条件证明文件；</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第一章 招标公告（投标邀请）2.3 本项目特定资格要求；（如有）</w:t>
      </w:r>
    </w:p>
    <w:p>
      <w:pPr>
        <w:autoSpaceDE w:val="0"/>
        <w:autoSpaceDN w:val="0"/>
        <w:adjustRightInd w:val="0"/>
        <w:spacing w:line="360" w:lineRule="auto"/>
        <w:ind w:firstLine="420" w:firstLineChars="200"/>
        <w:rPr>
          <w:rFonts w:ascii="宋体" w:hAnsi="宋体"/>
          <w:bCs/>
        </w:rPr>
      </w:pPr>
      <w:r>
        <w:rPr>
          <w:rFonts w:ascii="宋体" w:hAnsi="宋体"/>
          <w:bCs/>
        </w:rPr>
        <w:t>3.</w:t>
      </w:r>
      <w:r>
        <w:rPr>
          <w:rFonts w:hint="eastAsia" w:ascii="宋体" w:hAnsi="宋体" w:cs="Arial"/>
          <w:bCs/>
          <w:szCs w:val="21"/>
        </w:rPr>
        <w:t>投标人未被“信用中国”网站（www.creditchina.gov.cn）、“中国政府采购网”(www.ccgp.gov.cn)列入失信被执行人、重大税收违法案件当事人名单、政府采购严重违法失信行为记录名单</w:t>
      </w:r>
      <w:r>
        <w:rPr>
          <w:rFonts w:hint="eastAsia" w:ascii="宋体" w:hAnsi="宋体"/>
          <w:bCs/>
          <w:szCs w:val="21"/>
        </w:rPr>
        <w:t>证明文件</w:t>
      </w:r>
      <w:r>
        <w:rPr>
          <w:rFonts w:hint="eastAsia" w:ascii="宋体" w:hAnsi="宋体" w:cs="Arial"/>
          <w:bCs/>
          <w:szCs w:val="21"/>
        </w:rPr>
        <w:t>；</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 </w:t>
      </w:r>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br w:type="page"/>
      </w:r>
    </w:p>
    <w:p>
      <w:pPr>
        <w:pStyle w:val="5"/>
        <w:rPr>
          <w:rFonts w:ascii="宋体"/>
          <w:lang w:val="zh-CN"/>
        </w:rPr>
      </w:pPr>
      <w:bookmarkStart w:id="53" w:name="_Toc43917773"/>
      <w:bookmarkStart w:id="54" w:name="_Toc66375426"/>
      <w:bookmarkStart w:id="55" w:name="_Toc26810"/>
      <w:r>
        <w:rPr>
          <w:rFonts w:hint="eastAsia"/>
          <w:lang w:val="zh-CN"/>
        </w:rPr>
        <w:t>附件四、报价表</w:t>
      </w:r>
      <w:bookmarkEnd w:id="53"/>
      <w:bookmarkEnd w:id="54"/>
      <w:bookmarkEnd w:id="55"/>
    </w:p>
    <w:p>
      <w:pPr>
        <w:jc w:val="center"/>
        <w:rPr>
          <w:rFonts w:ascii="宋体"/>
          <w:b/>
          <w:sz w:val="32"/>
          <w:szCs w:val="32"/>
        </w:rPr>
      </w:pPr>
      <w:r>
        <w:rPr>
          <w:rFonts w:hint="eastAsia" w:ascii="宋体" w:hAnsi="宋体" w:cs="宋体"/>
          <w:b/>
          <w:sz w:val="32"/>
          <w:szCs w:val="32"/>
        </w:rPr>
        <w:t>开标一览表</w:t>
      </w:r>
    </w:p>
    <w:p>
      <w:pPr>
        <w:widowControl/>
        <w:shd w:val="clear" w:color="auto" w:fill="FFFFFF"/>
        <w:spacing w:line="360" w:lineRule="auto"/>
        <w:jc w:val="center"/>
        <w:rPr>
          <w:rFonts w:ascii="宋体"/>
          <w:kern w:val="0"/>
          <w:sz w:val="24"/>
        </w:rPr>
      </w:pPr>
    </w:p>
    <w:p>
      <w:pPr>
        <w:pStyle w:val="15"/>
        <w:spacing w:line="360" w:lineRule="auto"/>
        <w:ind w:firstLine="0"/>
        <w:rPr>
          <w:rFonts w:ascii="宋体"/>
          <w:b w:val="0"/>
          <w:bCs/>
          <w:sz w:val="21"/>
          <w:szCs w:val="21"/>
        </w:rPr>
      </w:pPr>
      <w:bookmarkStart w:id="56" w:name="_Hlk44577819"/>
      <w:r>
        <w:rPr>
          <w:rFonts w:hint="eastAsia" w:ascii="宋体" w:hAnsi="宋体" w:cs="宋体"/>
          <w:b w:val="0"/>
          <w:bCs/>
          <w:sz w:val="21"/>
          <w:szCs w:val="21"/>
        </w:rPr>
        <w:t>项目名称：                                        项目编号：</w:t>
      </w:r>
    </w:p>
    <w:tbl>
      <w:tblPr>
        <w:tblStyle w:val="4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43" w:type="dxa"/>
            <w:vAlign w:val="center"/>
          </w:tcPr>
          <w:p>
            <w:pPr>
              <w:pStyle w:val="15"/>
              <w:spacing w:line="360" w:lineRule="auto"/>
              <w:ind w:firstLine="0"/>
              <w:jc w:val="center"/>
              <w:rPr>
                <w:rFonts w:ascii="宋体"/>
                <w:b w:val="0"/>
                <w:bCs/>
                <w:sz w:val="21"/>
                <w:szCs w:val="21"/>
              </w:rPr>
            </w:pPr>
            <w:r>
              <w:rPr>
                <w:rFonts w:hint="eastAsia" w:ascii="宋体" w:hAnsi="宋体" w:cs="宋体"/>
                <w:b w:val="0"/>
                <w:bCs/>
                <w:sz w:val="21"/>
                <w:szCs w:val="21"/>
                <w:lang w:val="en-US" w:eastAsia="zh-CN"/>
              </w:rPr>
              <w:t>投标</w:t>
            </w:r>
            <w:r>
              <w:rPr>
                <w:rFonts w:hint="eastAsia" w:ascii="宋体" w:hAnsi="宋体" w:cs="宋体"/>
                <w:b w:val="0"/>
                <w:bCs/>
                <w:sz w:val="21"/>
                <w:szCs w:val="21"/>
              </w:rPr>
              <w:t>报价</w:t>
            </w:r>
          </w:p>
        </w:tc>
        <w:tc>
          <w:tcPr>
            <w:tcW w:w="5812" w:type="dxa"/>
            <w:vAlign w:val="center"/>
          </w:tcPr>
          <w:p>
            <w:pPr>
              <w:widowControl/>
              <w:shd w:val="clear" w:color="auto" w:fill="FFFFFF"/>
              <w:spacing w:line="360" w:lineRule="auto"/>
              <w:jc w:val="center"/>
              <w:rPr>
                <w:rFonts w:ascii="宋体" w:hAnsi="宋体"/>
                <w:kern w:val="0"/>
                <w:szCs w:val="21"/>
              </w:rPr>
            </w:pPr>
            <w:r>
              <w:rPr>
                <w:rFonts w:hint="eastAsia" w:ascii="宋体" w:hAnsi="宋体"/>
                <w:kern w:val="0"/>
                <w:szCs w:val="21"/>
                <w:lang w:val="en-US" w:eastAsia="zh-CN"/>
              </w:rPr>
              <w:t xml:space="preserve">     万元</w:t>
            </w:r>
            <w:r>
              <w:rPr>
                <w:rFonts w:hint="eastAsia" w:ascii="宋体" w:hAnsi="宋体"/>
                <w:kern w:val="0"/>
                <w:szCs w:val="21"/>
              </w:rPr>
              <w:t xml:space="preserve">                    </w:t>
            </w:r>
          </w:p>
        </w:tc>
        <w:tc>
          <w:tcPr>
            <w:tcW w:w="1559" w:type="dxa"/>
            <w:vAlign w:val="center"/>
          </w:tcPr>
          <w:p>
            <w:pPr>
              <w:pStyle w:val="15"/>
              <w:spacing w:line="360" w:lineRule="auto"/>
              <w:ind w:firstLine="0"/>
              <w:jc w:val="center"/>
              <w:rPr>
                <w:rFonts w:ascii="宋体"/>
                <w:b w:val="0"/>
                <w:bCs/>
                <w:sz w:val="21"/>
                <w:szCs w:val="21"/>
              </w:rPr>
            </w:pPr>
            <w:r>
              <w:rPr>
                <w:rFonts w:hint="eastAsia" w:ascii="宋体" w:hAnsi="宋体" w:cs="宋体"/>
                <w:b w:val="0"/>
                <w:bCs/>
                <w:sz w:val="21"/>
                <w:szCs w:val="21"/>
              </w:rPr>
              <w:t>备注</w:t>
            </w:r>
          </w:p>
          <w:p>
            <w:pPr>
              <w:pStyle w:val="15"/>
              <w:spacing w:line="360" w:lineRule="auto"/>
              <w:ind w:firstLine="0"/>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43" w:type="dxa"/>
            <w:vAlign w:val="center"/>
          </w:tcPr>
          <w:p>
            <w:pPr>
              <w:pStyle w:val="15"/>
              <w:spacing w:line="360" w:lineRule="auto"/>
              <w:ind w:firstLine="0"/>
              <w:jc w:val="center"/>
              <w:rPr>
                <w:rFonts w:ascii="宋体"/>
                <w:b w:val="0"/>
                <w:bCs/>
                <w:sz w:val="21"/>
                <w:szCs w:val="21"/>
              </w:rPr>
            </w:pPr>
            <w:r>
              <w:rPr>
                <w:rFonts w:hint="eastAsia" w:ascii="宋体" w:hAnsi="宋体" w:cs="宋体"/>
                <w:b w:val="0"/>
                <w:bCs/>
                <w:sz w:val="21"/>
                <w:szCs w:val="21"/>
              </w:rPr>
              <w:t>服务时间/交付使用时间</w:t>
            </w:r>
          </w:p>
        </w:tc>
        <w:tc>
          <w:tcPr>
            <w:tcW w:w="5812" w:type="dxa"/>
            <w:vAlign w:val="center"/>
          </w:tcPr>
          <w:p>
            <w:pPr>
              <w:pStyle w:val="15"/>
              <w:tabs>
                <w:tab w:val="left" w:pos="3624"/>
              </w:tabs>
              <w:spacing w:line="360" w:lineRule="auto"/>
              <w:ind w:firstLine="472" w:firstLineChars="225"/>
              <w:rPr>
                <w:rFonts w:ascii="宋体"/>
                <w:b w:val="0"/>
                <w:bCs/>
                <w:sz w:val="21"/>
                <w:szCs w:val="21"/>
                <w:u w:val="single"/>
              </w:rPr>
            </w:pPr>
            <w:r>
              <w:rPr>
                <w:rFonts w:hint="eastAsia" w:ascii="宋体" w:hAnsi="宋体" w:cs="宋体"/>
                <w:b w:val="0"/>
                <w:bCs/>
                <w:sz w:val="21"/>
                <w:szCs w:val="21"/>
                <w:u w:val="single"/>
              </w:rPr>
              <w:t>满足招标文件要求</w:t>
            </w:r>
          </w:p>
        </w:tc>
        <w:tc>
          <w:tcPr>
            <w:tcW w:w="1559" w:type="dxa"/>
            <w:vAlign w:val="center"/>
          </w:tcPr>
          <w:p>
            <w:pPr>
              <w:pStyle w:val="15"/>
              <w:spacing w:line="360" w:lineRule="auto"/>
              <w:ind w:firstLine="472" w:firstLineChars="225"/>
              <w:rPr>
                <w:rFonts w:ascii="宋体"/>
                <w:b w:val="0"/>
                <w:bCs/>
                <w:sz w:val="21"/>
                <w:szCs w:val="21"/>
              </w:rPr>
            </w:pPr>
          </w:p>
          <w:p>
            <w:pPr>
              <w:pStyle w:val="15"/>
              <w:spacing w:line="360" w:lineRule="auto"/>
              <w:ind w:firstLine="472" w:firstLineChars="225"/>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43" w:type="dxa"/>
            <w:vAlign w:val="center"/>
          </w:tcPr>
          <w:p>
            <w:pPr>
              <w:pStyle w:val="15"/>
              <w:spacing w:line="360" w:lineRule="auto"/>
              <w:ind w:firstLine="0"/>
              <w:jc w:val="center"/>
              <w:rPr>
                <w:rFonts w:ascii="宋体"/>
                <w:b w:val="0"/>
                <w:bCs/>
                <w:sz w:val="21"/>
                <w:szCs w:val="21"/>
              </w:rPr>
            </w:pPr>
            <w:r>
              <w:rPr>
                <w:rFonts w:hint="eastAsia" w:ascii="宋体" w:hAnsi="宋体" w:cs="宋体"/>
                <w:b w:val="0"/>
                <w:bCs/>
                <w:sz w:val="21"/>
                <w:szCs w:val="21"/>
              </w:rPr>
              <w:t>投标人是否属于小微型企业</w:t>
            </w:r>
          </w:p>
        </w:tc>
        <w:tc>
          <w:tcPr>
            <w:tcW w:w="5812" w:type="dxa"/>
            <w:vAlign w:val="center"/>
          </w:tcPr>
          <w:p>
            <w:pPr>
              <w:pStyle w:val="15"/>
              <w:spacing w:line="360" w:lineRule="auto"/>
              <w:ind w:firstLine="472" w:firstLineChars="225"/>
              <w:rPr>
                <w:rFonts w:ascii="宋体"/>
                <w:b w:val="0"/>
                <w:bCs/>
                <w:sz w:val="21"/>
                <w:szCs w:val="21"/>
              </w:rPr>
            </w:pPr>
            <w:r>
              <w:rPr>
                <w:rFonts w:ascii="宋体" w:hAnsi="宋体" w:cs="宋体"/>
                <w:b w:val="0"/>
                <w:bCs/>
                <w:sz w:val="21"/>
                <w:szCs w:val="21"/>
                <w:u w:val="single"/>
              </w:rPr>
              <w:t xml:space="preserve">                    </w:t>
            </w:r>
            <w:r>
              <w:rPr>
                <w:rFonts w:hint="eastAsia" w:ascii="宋体" w:hAnsi="宋体" w:cs="宋体"/>
                <w:b w:val="0"/>
                <w:bCs/>
                <w:sz w:val="21"/>
                <w:szCs w:val="21"/>
              </w:rPr>
              <w:t>（</w:t>
            </w:r>
            <w:r>
              <w:rPr>
                <w:rFonts w:hint="eastAsia" w:ascii="宋体" w:hAnsi="宋体" w:cs="宋体"/>
                <w:b w:val="0"/>
                <w:bCs/>
                <w:sz w:val="21"/>
                <w:szCs w:val="21"/>
                <w:lang w:val="zh-CN"/>
              </w:rPr>
              <w:t>填写“是”或“否</w:t>
            </w:r>
            <w:r>
              <w:rPr>
                <w:rFonts w:hint="eastAsia" w:ascii="宋体" w:hAnsi="宋体" w:cs="宋体"/>
                <w:b w:val="0"/>
                <w:bCs/>
                <w:sz w:val="21"/>
                <w:szCs w:val="21"/>
              </w:rPr>
              <w:t>）</w:t>
            </w:r>
          </w:p>
        </w:tc>
        <w:tc>
          <w:tcPr>
            <w:tcW w:w="1559" w:type="dxa"/>
            <w:vAlign w:val="center"/>
          </w:tcPr>
          <w:p>
            <w:pPr>
              <w:pStyle w:val="15"/>
              <w:spacing w:line="360" w:lineRule="auto"/>
              <w:ind w:firstLine="472" w:firstLineChars="225"/>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843" w:type="dxa"/>
            <w:vAlign w:val="center"/>
          </w:tcPr>
          <w:p>
            <w:pPr>
              <w:pStyle w:val="15"/>
              <w:spacing w:line="360" w:lineRule="auto"/>
              <w:ind w:firstLine="0"/>
              <w:jc w:val="center"/>
              <w:rPr>
                <w:rFonts w:ascii="宋体" w:hAnsi="宋体" w:cs="宋体"/>
                <w:b w:val="0"/>
                <w:bCs/>
                <w:sz w:val="21"/>
                <w:szCs w:val="21"/>
              </w:rPr>
            </w:pPr>
            <w:bookmarkStart w:id="57" w:name="_Hlk66805508"/>
            <w:r>
              <w:rPr>
                <w:rFonts w:hint="eastAsia" w:ascii="宋体" w:hAnsi="宋体" w:cs="宋体"/>
                <w:b w:val="0"/>
                <w:bCs/>
                <w:sz w:val="21"/>
                <w:szCs w:val="21"/>
              </w:rPr>
              <w:t>投标人是否属于残疾人福利性单位</w:t>
            </w:r>
            <w:bookmarkEnd w:id="57"/>
          </w:p>
        </w:tc>
        <w:tc>
          <w:tcPr>
            <w:tcW w:w="5812" w:type="dxa"/>
            <w:vAlign w:val="center"/>
          </w:tcPr>
          <w:p>
            <w:pPr>
              <w:pStyle w:val="15"/>
              <w:spacing w:line="360" w:lineRule="auto"/>
              <w:ind w:firstLine="472" w:firstLineChars="225"/>
              <w:rPr>
                <w:rFonts w:ascii="宋体" w:hAnsi="宋体" w:cs="宋体"/>
                <w:b w:val="0"/>
                <w:bCs/>
                <w:sz w:val="21"/>
                <w:szCs w:val="21"/>
                <w:u w:val="single"/>
              </w:rPr>
            </w:pPr>
            <w:r>
              <w:rPr>
                <w:rFonts w:ascii="宋体" w:hAnsi="宋体" w:cs="宋体"/>
                <w:b w:val="0"/>
                <w:bCs/>
                <w:sz w:val="21"/>
                <w:szCs w:val="21"/>
                <w:u w:val="single"/>
              </w:rPr>
              <w:t xml:space="preserve">                    </w:t>
            </w:r>
            <w:r>
              <w:rPr>
                <w:rFonts w:hint="eastAsia" w:ascii="宋体" w:hAnsi="宋体" w:cs="宋体"/>
                <w:b w:val="0"/>
                <w:bCs/>
                <w:sz w:val="21"/>
                <w:szCs w:val="21"/>
              </w:rPr>
              <w:t>（</w:t>
            </w:r>
            <w:r>
              <w:rPr>
                <w:rFonts w:hint="eastAsia" w:ascii="宋体" w:hAnsi="宋体" w:cs="宋体"/>
                <w:b w:val="0"/>
                <w:bCs/>
                <w:sz w:val="21"/>
                <w:szCs w:val="21"/>
                <w:lang w:val="zh-CN"/>
              </w:rPr>
              <w:t>填写“是”或“否</w:t>
            </w:r>
            <w:r>
              <w:rPr>
                <w:rFonts w:hint="eastAsia" w:ascii="宋体" w:hAnsi="宋体" w:cs="宋体"/>
                <w:b w:val="0"/>
                <w:bCs/>
                <w:sz w:val="21"/>
                <w:szCs w:val="21"/>
              </w:rPr>
              <w:t>）</w:t>
            </w:r>
          </w:p>
        </w:tc>
        <w:tc>
          <w:tcPr>
            <w:tcW w:w="1559" w:type="dxa"/>
            <w:vAlign w:val="center"/>
          </w:tcPr>
          <w:p>
            <w:pPr>
              <w:pStyle w:val="15"/>
              <w:spacing w:line="360" w:lineRule="auto"/>
              <w:ind w:firstLine="472" w:firstLineChars="225"/>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vAlign w:val="center"/>
          </w:tcPr>
          <w:p>
            <w:pPr>
              <w:pStyle w:val="15"/>
              <w:spacing w:line="360" w:lineRule="auto"/>
              <w:ind w:firstLine="0"/>
              <w:jc w:val="center"/>
              <w:rPr>
                <w:rFonts w:ascii="宋体" w:hAnsi="宋体" w:cs="宋体"/>
                <w:b w:val="0"/>
                <w:bCs/>
                <w:sz w:val="21"/>
                <w:szCs w:val="21"/>
              </w:rPr>
            </w:pPr>
            <w:bookmarkStart w:id="58" w:name="_Hlk66805528"/>
            <w:r>
              <w:rPr>
                <w:rFonts w:hint="eastAsia" w:ascii="宋体" w:hAnsi="宋体" w:cs="宋体"/>
                <w:b w:val="0"/>
                <w:bCs/>
                <w:sz w:val="21"/>
                <w:szCs w:val="21"/>
              </w:rPr>
              <w:t>投标人是否属于监狱企业</w:t>
            </w:r>
            <w:bookmarkEnd w:id="58"/>
          </w:p>
        </w:tc>
        <w:tc>
          <w:tcPr>
            <w:tcW w:w="5812" w:type="dxa"/>
            <w:vAlign w:val="center"/>
          </w:tcPr>
          <w:p>
            <w:pPr>
              <w:pStyle w:val="15"/>
              <w:spacing w:line="360" w:lineRule="auto"/>
              <w:ind w:firstLine="472" w:firstLineChars="225"/>
              <w:rPr>
                <w:rFonts w:ascii="宋体" w:hAnsi="宋体" w:cs="宋体"/>
                <w:b w:val="0"/>
                <w:bCs/>
                <w:sz w:val="21"/>
                <w:szCs w:val="21"/>
                <w:u w:val="single"/>
              </w:rPr>
            </w:pPr>
            <w:r>
              <w:rPr>
                <w:rFonts w:ascii="宋体" w:hAnsi="宋体" w:cs="宋体"/>
                <w:b w:val="0"/>
                <w:bCs/>
                <w:sz w:val="21"/>
                <w:szCs w:val="21"/>
                <w:u w:val="single"/>
              </w:rPr>
              <w:t xml:space="preserve">                    </w:t>
            </w:r>
            <w:r>
              <w:rPr>
                <w:rFonts w:hint="eastAsia" w:ascii="宋体" w:hAnsi="宋体" w:cs="宋体"/>
                <w:b w:val="0"/>
                <w:bCs/>
                <w:sz w:val="21"/>
                <w:szCs w:val="21"/>
              </w:rPr>
              <w:t>（</w:t>
            </w:r>
            <w:r>
              <w:rPr>
                <w:rFonts w:hint="eastAsia" w:ascii="宋体" w:hAnsi="宋体" w:cs="宋体"/>
                <w:b w:val="0"/>
                <w:bCs/>
                <w:sz w:val="21"/>
                <w:szCs w:val="21"/>
                <w:lang w:val="zh-CN"/>
              </w:rPr>
              <w:t>填写“是”或“否</w:t>
            </w:r>
            <w:r>
              <w:rPr>
                <w:rFonts w:hint="eastAsia" w:ascii="宋体" w:hAnsi="宋体" w:cs="宋体"/>
                <w:b w:val="0"/>
                <w:bCs/>
                <w:sz w:val="21"/>
                <w:szCs w:val="21"/>
              </w:rPr>
              <w:t>）</w:t>
            </w:r>
          </w:p>
        </w:tc>
        <w:tc>
          <w:tcPr>
            <w:tcW w:w="1559" w:type="dxa"/>
            <w:vAlign w:val="center"/>
          </w:tcPr>
          <w:p>
            <w:pPr>
              <w:pStyle w:val="15"/>
              <w:spacing w:line="360" w:lineRule="auto"/>
              <w:ind w:firstLine="472" w:firstLineChars="225"/>
              <w:rPr>
                <w:rFonts w:ascii="宋体"/>
                <w:b w:val="0"/>
                <w:bCs/>
                <w:sz w:val="21"/>
                <w:szCs w:val="21"/>
              </w:rPr>
            </w:pPr>
          </w:p>
        </w:tc>
      </w:tr>
    </w:tbl>
    <w:p>
      <w:pPr>
        <w:widowControl/>
        <w:shd w:val="clear" w:color="auto" w:fill="FFFFFF"/>
        <w:spacing w:line="360" w:lineRule="auto"/>
        <w:jc w:val="left"/>
        <w:rPr>
          <w:rFonts w:ascii="宋体"/>
          <w:kern w:val="0"/>
          <w:szCs w:val="21"/>
        </w:rPr>
      </w:pPr>
    </w:p>
    <w:bookmarkEnd w:id="56"/>
    <w:p>
      <w:pPr>
        <w:widowControl/>
        <w:shd w:val="clear" w:color="auto" w:fill="FFFFFF"/>
        <w:spacing w:line="360" w:lineRule="auto"/>
        <w:jc w:val="left"/>
        <w:rPr>
          <w:rFonts w:ascii="宋体"/>
          <w:kern w:val="0"/>
          <w:szCs w:val="21"/>
        </w:rPr>
      </w:pPr>
      <w:r>
        <w:rPr>
          <w:rFonts w:hint="eastAsia" w:ascii="宋体" w:hAnsi="宋体" w:cs="宋体"/>
          <w:kern w:val="0"/>
          <w:szCs w:val="21"/>
        </w:rPr>
        <w:t>投标人（盖章）：</w:t>
      </w:r>
      <w:r>
        <w:rPr>
          <w:rFonts w:ascii="宋体"/>
          <w:kern w:val="0"/>
          <w:szCs w:val="21"/>
          <w:u w:val="single"/>
        </w:rPr>
        <w:t>                                                </w:t>
      </w:r>
    </w:p>
    <w:p>
      <w:pPr>
        <w:widowControl/>
        <w:shd w:val="clear" w:color="auto" w:fill="FFFFFF"/>
        <w:spacing w:line="360" w:lineRule="auto"/>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kern w:val="0"/>
          <w:szCs w:val="21"/>
        </w:rPr>
      </w:pPr>
      <w:r>
        <w:rPr>
          <w:rFonts w:hint="eastAsia" w:ascii="宋体" w:hAnsi="宋体" w:cs="宋体"/>
          <w:kern w:val="0"/>
          <w:szCs w:val="21"/>
        </w:rPr>
        <w:t>说明：</w:t>
      </w:r>
    </w:p>
    <w:p>
      <w:pPr>
        <w:widowControl/>
        <w:numPr>
          <w:ilvl w:val="0"/>
          <w:numId w:val="13"/>
        </w:numPr>
        <w:shd w:val="clear" w:color="auto" w:fill="FFFFFF"/>
        <w:spacing w:line="360" w:lineRule="auto"/>
        <w:ind w:firstLine="420" w:firstLineChars="200"/>
        <w:jc w:val="left"/>
        <w:rPr>
          <w:rFonts w:ascii="宋体"/>
          <w:kern w:val="0"/>
          <w:szCs w:val="21"/>
        </w:rPr>
      </w:pPr>
      <w:r>
        <w:rPr>
          <w:rFonts w:hint="eastAsia" w:ascii="宋体" w:hAnsi="宋体" w:cs="宋体"/>
          <w:kern w:val="0"/>
          <w:szCs w:val="21"/>
        </w:rPr>
        <w:t>本项目仅接受一个价格，不得填报有选择性报价方案。若有优惠条款须注明，但不得影响报价，影响产品整体功能。</w:t>
      </w:r>
    </w:p>
    <w:p>
      <w:pPr>
        <w:pStyle w:val="192"/>
        <w:widowControl/>
        <w:numPr>
          <w:ilvl w:val="0"/>
          <w:numId w:val="13"/>
        </w:numPr>
        <w:shd w:val="clear" w:color="auto" w:fill="FFFFFF"/>
        <w:spacing w:line="360" w:lineRule="auto"/>
        <w:ind w:firstLineChars="0"/>
        <w:jc w:val="left"/>
        <w:rPr>
          <w:rFonts w:ascii="宋体"/>
          <w:kern w:val="0"/>
          <w:szCs w:val="21"/>
        </w:rPr>
      </w:pPr>
      <w:r>
        <w:rPr>
          <w:rFonts w:hint="eastAsia" w:ascii="宋体" w:hAnsi="宋体" w:cs="宋体"/>
          <w:kern w:val="0"/>
          <w:szCs w:val="21"/>
        </w:rPr>
        <w:t>“投标人是否属于小微型企业</w:t>
      </w:r>
      <w:r>
        <w:rPr>
          <w:rFonts w:hint="eastAsia" w:ascii="宋体" w:hAnsi="宋体" w:cs="宋体"/>
          <w:kern w:val="0"/>
          <w:szCs w:val="21"/>
          <w:lang w:val="zh-CN"/>
        </w:rPr>
        <w:t>”</w:t>
      </w:r>
      <w:r>
        <w:rPr>
          <w:rFonts w:hint="eastAsia"/>
        </w:rPr>
        <w:t xml:space="preserve"> “</w:t>
      </w:r>
      <w:r>
        <w:rPr>
          <w:rFonts w:hint="eastAsia" w:ascii="宋体" w:hAnsi="宋体" w:cs="宋体"/>
          <w:kern w:val="0"/>
          <w:szCs w:val="21"/>
          <w:lang w:val="zh-CN"/>
        </w:rPr>
        <w:t>投标人是否属于残疾人福利性单位</w:t>
      </w:r>
      <w:r>
        <w:rPr>
          <w:rFonts w:hint="eastAsia"/>
        </w:rPr>
        <w:t>” “投标人是否属于监狱企业”</w:t>
      </w:r>
      <w:r>
        <w:rPr>
          <w:rFonts w:hint="eastAsia" w:ascii="宋体" w:hAnsi="宋体" w:cs="宋体"/>
          <w:kern w:val="0"/>
          <w:szCs w:val="21"/>
          <w:lang w:val="zh-CN"/>
        </w:rPr>
        <w:t>栏内填写“是”或“否”。如填写“是”，</w:t>
      </w:r>
      <w:r>
        <w:rPr>
          <w:rFonts w:hint="eastAsia" w:ascii="宋体" w:hAnsi="宋体" w:cs="宋体"/>
          <w:szCs w:val="21"/>
        </w:rPr>
        <w:t>投标人需提供《中小企业声明函》、《残疾人福利性单位声明函》、《属于监狱企业的证明文件》，如未按要求提供、填写，或相关内容表述不清前后矛盾的，不享受价格扣除</w:t>
      </w:r>
      <w:r>
        <w:rPr>
          <w:rFonts w:hint="eastAsia" w:ascii="宋体" w:hAnsi="宋体" w:cs="宋体"/>
          <w:kern w:val="0"/>
          <w:szCs w:val="21"/>
        </w:rPr>
        <w:t>。</w:t>
      </w:r>
    </w:p>
    <w:p>
      <w:pPr>
        <w:widowControl/>
        <w:shd w:val="clear" w:color="auto" w:fill="FFFFFF"/>
        <w:spacing w:line="360" w:lineRule="auto"/>
        <w:ind w:firstLine="420"/>
        <w:jc w:val="left"/>
        <w:rPr>
          <w:rFonts w:ascii="宋体" w:hAnsi="宋体" w:cs="宋体"/>
          <w:szCs w:val="21"/>
        </w:rPr>
      </w:pPr>
      <w:r>
        <w:rPr>
          <w:rFonts w:hint="eastAsia" w:ascii="宋体" w:hAnsi="宋体" w:cs="宋体"/>
          <w:szCs w:val="21"/>
        </w:rPr>
        <w:t>3、《开标一览表》一式两份，一份装订在投标文件中，一份用封套单独加以密封，并在封套上注明“开标一览表”字样，随投标文件一并递交，以便唱标时使用。</w:t>
      </w:r>
      <w:bookmarkStart w:id="59" w:name="_Toc12264"/>
    </w:p>
    <w:p>
      <w:pPr>
        <w:pStyle w:val="5"/>
        <w:numPr>
          <w:ilvl w:val="1"/>
          <w:numId w:val="0"/>
        </w:numPr>
        <w:rPr>
          <w:color w:val="FF0000"/>
          <w:sz w:val="24"/>
          <w:szCs w:val="24"/>
          <w:lang w:val="zh-CN"/>
        </w:rPr>
      </w:pPr>
      <w:bookmarkStart w:id="60" w:name="_Toc43917774"/>
      <w:bookmarkStart w:id="61" w:name="_Toc66375427"/>
      <w:r>
        <w:rPr>
          <w:rFonts w:hint="eastAsia"/>
          <w:lang w:val="zh-CN"/>
        </w:rPr>
        <w:t>附件五、分项报价表格式</w:t>
      </w:r>
      <w:bookmarkEnd w:id="59"/>
      <w:bookmarkEnd w:id="60"/>
      <w:bookmarkEnd w:id="61"/>
      <w:bookmarkStart w:id="62" w:name="_Hlk44577839"/>
    </w:p>
    <w:bookmarkEnd w:id="62"/>
    <w:p>
      <w:pPr>
        <w:widowControl/>
        <w:adjustRightInd w:val="0"/>
        <w:spacing w:line="240" w:lineRule="atLeast"/>
        <w:jc w:val="left"/>
        <w:rPr>
          <w:rFonts w:ascii="宋体"/>
          <w:b/>
          <w:bCs/>
          <w:kern w:val="0"/>
          <w:lang w:val="zh-CN"/>
        </w:rPr>
      </w:pPr>
    </w:p>
    <w:p>
      <w:pPr>
        <w:widowControl/>
        <w:shd w:val="clear" w:color="auto" w:fill="FFFFFF"/>
        <w:spacing w:line="360" w:lineRule="auto"/>
        <w:jc w:val="center"/>
        <w:rPr>
          <w:rFonts w:ascii="宋体" w:hAnsi="宋体"/>
          <w:b/>
          <w:kern w:val="0"/>
          <w:sz w:val="32"/>
          <w:szCs w:val="32"/>
        </w:rPr>
      </w:pPr>
      <w:r>
        <w:rPr>
          <w:rFonts w:hint="eastAsia" w:ascii="宋体" w:hAnsi="宋体"/>
          <w:b/>
          <w:kern w:val="0"/>
          <w:sz w:val="32"/>
          <w:szCs w:val="32"/>
        </w:rPr>
        <w:t>分项报价表</w:t>
      </w:r>
    </w:p>
    <w:p>
      <w:pPr>
        <w:widowControl/>
        <w:tabs>
          <w:tab w:val="left" w:pos="5397"/>
        </w:tabs>
        <w:spacing w:line="360" w:lineRule="auto"/>
        <w:ind w:firstLine="294" w:firstLineChars="140"/>
        <w:jc w:val="left"/>
        <w:rPr>
          <w:rFonts w:ascii="宋体" w:hAnsi="宋体"/>
          <w:kern w:val="0"/>
          <w:szCs w:val="21"/>
        </w:rPr>
      </w:pPr>
      <w:r>
        <w:rPr>
          <w:rFonts w:hint="eastAsia" w:ascii="宋体" w:hAnsi="宋体"/>
          <w:kern w:val="0"/>
          <w:szCs w:val="21"/>
        </w:rPr>
        <w:t>项目名称：</w:t>
      </w:r>
      <w:r>
        <w:rPr>
          <w:rFonts w:ascii="宋体" w:hAnsi="宋体"/>
          <w:kern w:val="0"/>
          <w:szCs w:val="21"/>
        </w:rPr>
        <w:tab/>
      </w:r>
      <w:r>
        <w:rPr>
          <w:rFonts w:hint="eastAsia" w:ascii="宋体" w:hAnsi="宋体"/>
          <w:kern w:val="0"/>
          <w:szCs w:val="21"/>
        </w:rPr>
        <w:t>项目编号：</w:t>
      </w:r>
    </w:p>
    <w:tbl>
      <w:tblPr>
        <w:tblStyle w:val="45"/>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60"/>
        <w:gridCol w:w="960"/>
        <w:gridCol w:w="961"/>
        <w:gridCol w:w="961"/>
        <w:gridCol w:w="961"/>
        <w:gridCol w:w="961"/>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bl>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210" w:firstLineChars="100"/>
        <w:jc w:val="left"/>
        <w:rPr>
          <w:rFonts w:ascii="宋体" w:hAnsi="宋体"/>
          <w:kern w:val="0"/>
          <w:szCs w:val="21"/>
        </w:rPr>
      </w:pPr>
      <w:r>
        <w:rPr>
          <w:rFonts w:hint="eastAsia" w:ascii="宋体" w:hAnsi="宋体"/>
          <w:kern w:val="0"/>
          <w:szCs w:val="21"/>
        </w:rPr>
        <w:t>说明：</w:t>
      </w:r>
      <w:r>
        <w:rPr>
          <w:rFonts w:hint="eastAsia"/>
          <w:lang w:val="zh-CN"/>
        </w:rPr>
        <w:t>分项报价格式自拟，</w:t>
      </w:r>
      <w:r>
        <w:rPr>
          <w:rFonts w:ascii="宋体" w:hAnsi="宋体"/>
          <w:kern w:val="0"/>
          <w:szCs w:val="21"/>
        </w:rPr>
        <w:t>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tabs>
          <w:tab w:val="left" w:pos="5808"/>
        </w:tabs>
        <w:spacing w:line="360" w:lineRule="auto"/>
        <w:jc w:val="left"/>
        <w:rPr>
          <w:rFonts w:ascii="宋体" w:hAnsi="宋体" w:cs="宋体"/>
          <w:kern w:val="0"/>
          <w:szCs w:val="21"/>
        </w:rPr>
      </w:pPr>
      <w:r>
        <w:rPr>
          <w:rFonts w:ascii="宋体" w:hAnsi="宋体" w:cs="宋体"/>
          <w:kern w:val="0"/>
          <w:szCs w:val="21"/>
        </w:rPr>
        <w:tab/>
      </w:r>
    </w:p>
    <w:p>
      <w:pPr>
        <w:widowControl/>
        <w:shd w:val="clear" w:color="auto" w:fill="FFFFFF"/>
        <w:spacing w:line="360" w:lineRule="auto"/>
        <w:ind w:firstLine="210" w:firstLineChars="100"/>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ind w:firstLine="210" w:firstLineChars="100"/>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ascii="宋体" w:hAnsi="宋体"/>
          <w:kern w:val="0"/>
          <w:szCs w:val="21"/>
        </w:rPr>
        <w:t> </w:t>
      </w:r>
    </w:p>
    <w:p>
      <w:pPr>
        <w:widowControl/>
        <w:jc w:val="left"/>
        <w:rPr>
          <w:rFonts w:ascii="宋体" w:hAnsi="宋体"/>
          <w:kern w:val="0"/>
          <w:szCs w:val="21"/>
        </w:rPr>
      </w:pPr>
      <w:r>
        <w:rPr>
          <w:rFonts w:ascii="宋体" w:hAnsi="宋体"/>
          <w:kern w:val="0"/>
          <w:szCs w:val="21"/>
        </w:rPr>
        <w:br w:type="page"/>
      </w:r>
    </w:p>
    <w:p>
      <w:pPr>
        <w:pStyle w:val="5"/>
      </w:pPr>
      <w:bookmarkStart w:id="63" w:name="_Toc66375428"/>
      <w:bookmarkStart w:id="64" w:name="_Toc43917775"/>
      <w:r>
        <w:rPr>
          <w:rFonts w:hint="eastAsia"/>
        </w:rPr>
        <w:t>附件六、技术规格偏离表格式</w:t>
      </w:r>
      <w:bookmarkEnd w:id="63"/>
      <w:bookmarkEnd w:id="64"/>
    </w:p>
    <w:p>
      <w:pPr>
        <w:widowControl/>
        <w:shd w:val="clear" w:color="auto" w:fill="FFFFFF"/>
        <w:spacing w:line="360" w:lineRule="auto"/>
        <w:ind w:left="435"/>
        <w:jc w:val="left"/>
        <w:rPr>
          <w:rFonts w:ascii="宋体" w:hAnsi="宋体"/>
          <w:kern w:val="0"/>
          <w:szCs w:val="21"/>
        </w:rPr>
      </w:pPr>
      <w:r>
        <w:rPr>
          <w:rFonts w:hint="eastAsia" w:ascii="宋体" w:hAnsi="宋体"/>
          <w:kern w:val="0"/>
          <w:sz w:val="24"/>
        </w:rPr>
        <w:t> </w:t>
      </w:r>
    </w:p>
    <w:p>
      <w:pPr>
        <w:widowControl/>
        <w:shd w:val="clear" w:color="auto" w:fill="FFFFFF"/>
        <w:spacing w:line="360" w:lineRule="auto"/>
        <w:ind w:left="420"/>
        <w:jc w:val="center"/>
        <w:rPr>
          <w:rFonts w:ascii="宋体" w:hAnsi="宋体"/>
          <w:b/>
          <w:kern w:val="0"/>
          <w:sz w:val="32"/>
          <w:szCs w:val="32"/>
        </w:rPr>
      </w:pPr>
      <w:r>
        <w:rPr>
          <w:rFonts w:hint="eastAsia" w:ascii="宋体" w:hAnsi="宋体"/>
          <w:b/>
          <w:kern w:val="0"/>
          <w:sz w:val="32"/>
          <w:szCs w:val="32"/>
        </w:rPr>
        <w:t>技术条款偏离表</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tabs>
          <w:tab w:val="left" w:pos="5397"/>
        </w:tabs>
        <w:spacing w:line="360" w:lineRule="auto"/>
        <w:ind w:firstLine="294" w:firstLineChars="140"/>
        <w:jc w:val="left"/>
        <w:rPr>
          <w:rFonts w:ascii="宋体" w:hAnsi="宋体"/>
          <w:kern w:val="0"/>
          <w:szCs w:val="21"/>
        </w:rPr>
      </w:pPr>
      <w:r>
        <w:rPr>
          <w:rFonts w:hint="eastAsia" w:ascii="宋体" w:hAnsi="宋体"/>
          <w:kern w:val="0"/>
          <w:szCs w:val="21"/>
        </w:rPr>
        <w:t>项目名称：</w:t>
      </w:r>
      <w:r>
        <w:rPr>
          <w:rFonts w:ascii="宋体" w:hAnsi="宋体"/>
          <w:kern w:val="0"/>
          <w:szCs w:val="21"/>
        </w:rPr>
        <w:tab/>
      </w:r>
      <w:r>
        <w:rPr>
          <w:rFonts w:hint="eastAsia" w:ascii="宋体" w:hAnsi="宋体"/>
          <w:kern w:val="0"/>
          <w:szCs w:val="21"/>
        </w:rPr>
        <w:t>项目编号：</w:t>
      </w:r>
    </w:p>
    <w:tbl>
      <w:tblPr>
        <w:tblStyle w:val="45"/>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3543"/>
        <w:gridCol w:w="202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b/>
                <w:kern w:val="0"/>
                <w:szCs w:val="21"/>
              </w:rPr>
            </w:pPr>
            <w:bookmarkStart w:id="65" w:name="_Hlk66784099"/>
            <w:r>
              <w:rPr>
                <w:rFonts w:hint="eastAsia" w:ascii="宋体" w:hAnsi="宋体"/>
                <w:b/>
                <w:kern w:val="0"/>
                <w:szCs w:val="21"/>
              </w:rPr>
              <w:t>序号</w:t>
            </w:r>
          </w:p>
        </w:tc>
        <w:tc>
          <w:tcPr>
            <w:tcW w:w="3543"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招标文件要求的技术条款</w:t>
            </w:r>
          </w:p>
        </w:tc>
        <w:tc>
          <w:tcPr>
            <w:tcW w:w="2021"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投标响应</w:t>
            </w:r>
          </w:p>
        </w:tc>
        <w:tc>
          <w:tcPr>
            <w:tcW w:w="1949"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bookmarkEnd w:id="65"/>
    </w:tbl>
    <w:p>
      <w:pPr>
        <w:widowControl/>
        <w:tabs>
          <w:tab w:val="left" w:pos="5397"/>
        </w:tabs>
        <w:spacing w:line="360" w:lineRule="auto"/>
        <w:jc w:val="left"/>
        <w:rPr>
          <w:rFonts w:ascii="宋体" w:hAnsi="宋体"/>
          <w:kern w:val="0"/>
          <w:szCs w:val="21"/>
        </w:rPr>
      </w:pPr>
    </w:p>
    <w:p>
      <w:pPr>
        <w:widowControl/>
        <w:shd w:val="clear" w:color="auto" w:fill="FFFFFF"/>
        <w:spacing w:line="360" w:lineRule="auto"/>
        <w:ind w:firstLine="210" w:firstLineChars="100"/>
        <w:jc w:val="left"/>
        <w:rPr>
          <w:rFonts w:ascii="宋体" w:hAnsi="宋体"/>
          <w:kern w:val="0"/>
          <w:szCs w:val="21"/>
        </w:rPr>
      </w:pPr>
      <w:r>
        <w:rPr>
          <w:rFonts w:hint="eastAsia" w:ascii="宋体" w:hAnsi="宋体"/>
          <w:kern w:val="0"/>
          <w:szCs w:val="21"/>
        </w:rPr>
        <w:t>说明：</w:t>
      </w:r>
      <w:r>
        <w:rPr>
          <w:rFonts w:ascii="宋体" w:hAnsi="宋体"/>
          <w:kern w:val="0"/>
          <w:szCs w:val="21"/>
        </w:rPr>
        <w:t>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210" w:firstLineChars="100"/>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ind w:firstLine="210" w:firstLineChars="100"/>
        <w:jc w:val="left"/>
        <w:rPr>
          <w:rFonts w:ascii="宋体" w:hAnsi="宋体"/>
          <w:kern w:val="0"/>
          <w:szCs w:val="21"/>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br w:type="page"/>
      </w:r>
    </w:p>
    <w:p>
      <w:pPr>
        <w:pStyle w:val="5"/>
        <w:numPr>
          <w:ilvl w:val="1"/>
          <w:numId w:val="0"/>
        </w:numPr>
      </w:pPr>
      <w:bookmarkStart w:id="66" w:name="_Toc43917776"/>
      <w:bookmarkStart w:id="67" w:name="_Toc66375429"/>
      <w:r>
        <w:rPr>
          <w:rFonts w:hint="eastAsia"/>
        </w:rPr>
        <w:t>附件七、商务条款偏离表格式</w:t>
      </w:r>
      <w:bookmarkEnd w:id="66"/>
      <w:bookmarkEnd w:id="67"/>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 </w:t>
      </w:r>
    </w:p>
    <w:p>
      <w:pPr>
        <w:widowControl/>
        <w:shd w:val="clear" w:color="auto" w:fill="FFFFFF"/>
        <w:spacing w:line="360" w:lineRule="auto"/>
        <w:ind w:left="420"/>
        <w:jc w:val="center"/>
        <w:rPr>
          <w:rFonts w:ascii="宋体" w:hAnsi="宋体"/>
          <w:b/>
          <w:kern w:val="0"/>
          <w:sz w:val="32"/>
          <w:szCs w:val="32"/>
        </w:rPr>
      </w:pPr>
      <w:r>
        <w:rPr>
          <w:rFonts w:hint="eastAsia" w:ascii="宋体" w:hAnsi="宋体"/>
          <w:b/>
          <w:kern w:val="0"/>
          <w:sz w:val="32"/>
          <w:szCs w:val="32"/>
        </w:rPr>
        <w:t>商务条款偏离表</w:t>
      </w:r>
    </w:p>
    <w:p>
      <w:pPr>
        <w:widowControl/>
        <w:shd w:val="clear" w:color="auto" w:fill="FFFFFF"/>
        <w:spacing w:line="360" w:lineRule="auto"/>
        <w:jc w:val="left"/>
        <w:rPr>
          <w:rFonts w:ascii="宋体" w:hAnsi="宋体"/>
          <w:kern w:val="0"/>
          <w:szCs w:val="21"/>
        </w:rPr>
      </w:pPr>
      <w:r>
        <w:rPr>
          <w:rFonts w:hint="eastAsia" w:ascii="宋体" w:hAnsi="宋体"/>
          <w:kern w:val="0"/>
          <w:sz w:val="24"/>
        </w:rPr>
        <w:t> </w:t>
      </w:r>
    </w:p>
    <w:p>
      <w:pPr>
        <w:widowControl/>
        <w:tabs>
          <w:tab w:val="left" w:pos="5366"/>
        </w:tabs>
        <w:spacing w:line="360" w:lineRule="auto"/>
        <w:ind w:firstLine="306" w:firstLineChars="146"/>
        <w:jc w:val="left"/>
        <w:rPr>
          <w:rFonts w:ascii="宋体" w:hAnsi="宋体"/>
          <w:kern w:val="0"/>
          <w:szCs w:val="21"/>
        </w:rPr>
      </w:pPr>
      <w:r>
        <w:rPr>
          <w:rFonts w:hint="eastAsia" w:ascii="宋体" w:hAnsi="宋体"/>
          <w:kern w:val="0"/>
          <w:szCs w:val="21"/>
        </w:rPr>
        <w:t>项目名称：</w:t>
      </w:r>
      <w:r>
        <w:rPr>
          <w:rFonts w:ascii="宋体" w:hAnsi="宋体"/>
          <w:kern w:val="0"/>
          <w:szCs w:val="21"/>
        </w:rPr>
        <w:tab/>
      </w:r>
      <w:r>
        <w:rPr>
          <w:rFonts w:hint="eastAsia" w:ascii="宋体" w:hAnsi="宋体"/>
          <w:kern w:val="0"/>
          <w:szCs w:val="21"/>
        </w:rPr>
        <w:t>项目编号：         </w:t>
      </w:r>
    </w:p>
    <w:tbl>
      <w:tblPr>
        <w:tblStyle w:val="4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3649"/>
        <w:gridCol w:w="202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b/>
                <w:kern w:val="0"/>
                <w:szCs w:val="21"/>
              </w:rPr>
            </w:pPr>
            <w:bookmarkStart w:id="68" w:name="_Hlk66784541"/>
            <w:r>
              <w:rPr>
                <w:rFonts w:hint="eastAsia" w:ascii="宋体" w:hAnsi="宋体"/>
                <w:b/>
                <w:kern w:val="0"/>
                <w:szCs w:val="21"/>
              </w:rPr>
              <w:t>序号</w:t>
            </w:r>
          </w:p>
        </w:tc>
        <w:tc>
          <w:tcPr>
            <w:tcW w:w="3649"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招标文件要求的商务条款</w:t>
            </w:r>
          </w:p>
        </w:tc>
        <w:tc>
          <w:tcPr>
            <w:tcW w:w="2021"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投标响应</w:t>
            </w:r>
          </w:p>
        </w:tc>
        <w:tc>
          <w:tcPr>
            <w:tcW w:w="1843"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bookmarkEnd w:id="68"/>
    </w:tbl>
    <w:p>
      <w:pPr>
        <w:widowControl/>
        <w:shd w:val="clear" w:color="auto" w:fill="FFFFFF"/>
        <w:spacing w:line="360" w:lineRule="auto"/>
        <w:jc w:val="left"/>
        <w:rPr>
          <w:rFonts w:ascii="宋体" w:hAnsi="宋体"/>
          <w:kern w:val="0"/>
          <w:szCs w:val="21"/>
        </w:rPr>
      </w:pPr>
    </w:p>
    <w:p>
      <w:pPr>
        <w:widowControl/>
        <w:shd w:val="clear" w:color="auto" w:fill="FFFFFF"/>
        <w:spacing w:line="360" w:lineRule="auto"/>
        <w:ind w:firstLine="210" w:firstLineChars="100"/>
        <w:jc w:val="left"/>
        <w:rPr>
          <w:rFonts w:ascii="宋体" w:hAnsi="宋体"/>
          <w:kern w:val="0"/>
          <w:szCs w:val="21"/>
        </w:rPr>
      </w:pPr>
      <w:r>
        <w:rPr>
          <w:rFonts w:hint="eastAsia" w:ascii="宋体" w:hAnsi="宋体"/>
          <w:kern w:val="0"/>
          <w:szCs w:val="21"/>
        </w:rPr>
        <w:t>说明：如果行数不够，请自行增加。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210" w:firstLineChars="100"/>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ind w:firstLine="210" w:firstLineChars="100"/>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ascii="宋体" w:hAnsi="宋体"/>
          <w:kern w:val="0"/>
          <w:szCs w:val="21"/>
        </w:rPr>
        <w:br w:type="page"/>
      </w:r>
    </w:p>
    <w:p>
      <w:pPr>
        <w:pStyle w:val="5"/>
        <w:rPr>
          <w:lang w:val="zh-CN"/>
        </w:rPr>
      </w:pPr>
      <w:bookmarkStart w:id="69" w:name="_Toc43917777"/>
      <w:bookmarkStart w:id="70" w:name="_Toc66375430"/>
      <w:r>
        <w:rPr>
          <w:rFonts w:hint="eastAsia"/>
        </w:rPr>
        <w:t>附件八、</w:t>
      </w:r>
      <w:bookmarkEnd w:id="69"/>
      <w:bookmarkEnd w:id="70"/>
      <w:bookmarkStart w:id="71" w:name="_Hlk68010004"/>
      <w:r>
        <w:rPr>
          <w:rFonts w:hint="eastAsia" w:cs="宋体" w:asciiTheme="minorEastAsia" w:hAnsiTheme="minorEastAsia" w:eastAsiaTheme="minorEastAsia"/>
          <w:kern w:val="0"/>
          <w:szCs w:val="21"/>
          <w:lang w:val="zh-CN"/>
        </w:rPr>
        <w:t>技术说明或技术性能</w:t>
      </w:r>
      <w:bookmarkEnd w:id="71"/>
    </w:p>
    <w:p>
      <w:pPr>
        <w:widowControl/>
        <w:shd w:val="clear" w:color="auto" w:fill="FFFFFF"/>
        <w:spacing w:line="360" w:lineRule="auto"/>
        <w:jc w:val="left"/>
        <w:rPr>
          <w:rFonts w:ascii="宋体"/>
          <w:b/>
          <w:bCs/>
          <w:szCs w:val="21"/>
          <w:lang w:val="zh-CN"/>
        </w:rPr>
      </w:pPr>
    </w:p>
    <w:p>
      <w:pPr>
        <w:pStyle w:val="108"/>
        <w:snapToGrid w:val="0"/>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内容自拟，应根据采购人对项目的要求、</w:t>
      </w:r>
      <w:bookmarkStart w:id="72" w:name="_Hlk68017088"/>
      <w:r>
        <w:rPr>
          <w:rFonts w:hint="eastAsia" w:ascii="Times New Roman" w:hAnsi="Times New Roman"/>
          <w:kern w:val="2"/>
          <w:sz w:val="21"/>
          <w:szCs w:val="21"/>
        </w:rPr>
        <w:t>招标文件技术部分</w:t>
      </w:r>
      <w:bookmarkEnd w:id="72"/>
      <w:r>
        <w:rPr>
          <w:rFonts w:hint="eastAsia" w:ascii="Times New Roman" w:hAnsi="Times New Roman"/>
          <w:kern w:val="2"/>
          <w:sz w:val="21"/>
          <w:szCs w:val="21"/>
        </w:rPr>
        <w:t>、评标标准的要求及项目本身的特点编写。</w:t>
      </w:r>
    </w:p>
    <w:p>
      <w:pPr>
        <w:pStyle w:val="108"/>
        <w:snapToGrid w:val="0"/>
        <w:spacing w:before="0" w:after="0"/>
        <w:ind w:firstLine="420" w:firstLineChars="200"/>
        <w:rPr>
          <w:rFonts w:ascii="Times New Roman" w:hAnsi="Times New Roman"/>
          <w:kern w:val="2"/>
          <w:sz w:val="21"/>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b/>
          <w:bCs/>
          <w:kern w:val="0"/>
          <w:szCs w:val="21"/>
        </w:rPr>
      </w:pPr>
      <w:r>
        <w:rPr>
          <w:rFonts w:hint="eastAsia" w:ascii="宋体" w:hAnsi="宋体"/>
          <w:b/>
          <w:bCs/>
          <w:kern w:val="0"/>
          <w:szCs w:val="21"/>
        </w:rPr>
        <w:t> </w:t>
      </w:r>
    </w:p>
    <w:p>
      <w:pPr>
        <w:widowControl/>
        <w:shd w:val="clear" w:color="auto" w:fill="FFFFFF"/>
        <w:spacing w:line="360" w:lineRule="auto"/>
        <w:jc w:val="left"/>
        <w:rPr>
          <w:rFonts w:ascii="宋体" w:hAnsi="宋体"/>
          <w:b/>
          <w:bCs/>
          <w:kern w:val="0"/>
          <w:szCs w:val="21"/>
        </w:rPr>
      </w:pPr>
      <w:r>
        <w:rPr>
          <w:rFonts w:hint="eastAsia" w:ascii="宋体" w:hAnsi="宋体"/>
          <w:b/>
          <w:bCs/>
          <w:kern w:val="0"/>
          <w:szCs w:val="21"/>
        </w:rPr>
        <w:br w:type="page"/>
      </w:r>
    </w:p>
    <w:p>
      <w:pPr>
        <w:pStyle w:val="5"/>
      </w:pPr>
      <w:bookmarkStart w:id="73" w:name="_Toc66375431"/>
      <w:bookmarkStart w:id="74" w:name="_Toc43917778"/>
      <w:r>
        <w:rPr>
          <w:rFonts w:hint="eastAsia"/>
        </w:rPr>
        <w:t>附件九、拟参与本项目服务人员一览表</w:t>
      </w:r>
      <w:bookmarkEnd w:id="73"/>
      <w:bookmarkEnd w:id="74"/>
    </w:p>
    <w:p>
      <w:pPr>
        <w:widowControl/>
        <w:adjustRightInd w:val="0"/>
        <w:spacing w:line="460" w:lineRule="atLeast"/>
        <w:rPr>
          <w:rFonts w:ascii="宋体" w:hAnsi="宋体"/>
          <w:b/>
          <w:bCs/>
          <w:kern w:val="0"/>
          <w:sz w:val="24"/>
        </w:rPr>
      </w:pPr>
    </w:p>
    <w:p>
      <w:pPr>
        <w:widowControl/>
        <w:shd w:val="clear" w:color="auto" w:fill="FFFFFF"/>
        <w:spacing w:line="360" w:lineRule="auto"/>
        <w:ind w:left="420"/>
        <w:jc w:val="center"/>
        <w:rPr>
          <w:rFonts w:ascii="宋体" w:hAnsi="宋体"/>
          <w:b/>
          <w:kern w:val="0"/>
          <w:sz w:val="30"/>
          <w:szCs w:val="30"/>
        </w:rPr>
      </w:pPr>
      <w:bookmarkStart w:id="75" w:name="_Hlk67995747"/>
      <w:bookmarkStart w:id="76" w:name="_Hlk68017110"/>
      <w:r>
        <w:rPr>
          <w:rFonts w:hint="eastAsia" w:ascii="宋体" w:hAnsi="宋体"/>
          <w:b/>
          <w:kern w:val="0"/>
          <w:sz w:val="32"/>
          <w:szCs w:val="32"/>
        </w:rPr>
        <w:t>拟参与本项目服务人员一览表</w:t>
      </w:r>
      <w:bookmarkEnd w:id="75"/>
      <w:bookmarkStart w:id="77" w:name="_Hlk66378104"/>
    </w:p>
    <w:bookmarkEnd w:id="77"/>
    <w:p>
      <w:pPr>
        <w:widowControl/>
        <w:adjustRightInd w:val="0"/>
        <w:jc w:val="center"/>
        <w:rPr>
          <w:rFonts w:ascii="宋体" w:hAnsi="宋体"/>
          <w:b/>
          <w:bCs/>
          <w:kern w:val="0"/>
          <w:sz w:val="24"/>
        </w:rPr>
      </w:pPr>
    </w:p>
    <w:p>
      <w:pPr>
        <w:widowControl/>
        <w:adjustRightInd w:val="0"/>
        <w:rPr>
          <w:rFonts w:ascii="宋体" w:hAnsi="宋体"/>
          <w:kern w:val="0"/>
          <w:szCs w:val="21"/>
        </w:rPr>
      </w:pPr>
      <w:bookmarkStart w:id="78" w:name="_Hlk66784308"/>
      <w:r>
        <w:rPr>
          <w:rFonts w:hint="eastAsia" w:ascii="宋体" w:hAnsi="宋体"/>
          <w:kern w:val="0"/>
          <w:szCs w:val="21"/>
        </w:rPr>
        <w:t>项目名称：                                 项目编号：</w:t>
      </w:r>
    </w:p>
    <w:bookmarkEnd w:id="78"/>
    <w:tbl>
      <w:tblPr>
        <w:tblStyle w:val="45"/>
        <w:tblW w:w="9464" w:type="dxa"/>
        <w:jc w:val="center"/>
        <w:tblLayout w:type="fixed"/>
        <w:tblCellMar>
          <w:top w:w="0" w:type="dxa"/>
          <w:left w:w="108" w:type="dxa"/>
          <w:bottom w:w="0" w:type="dxa"/>
          <w:right w:w="108" w:type="dxa"/>
        </w:tblCellMar>
      </w:tblPr>
      <w:tblGrid>
        <w:gridCol w:w="558"/>
        <w:gridCol w:w="890"/>
        <w:gridCol w:w="890"/>
        <w:gridCol w:w="890"/>
        <w:gridCol w:w="890"/>
        <w:gridCol w:w="891"/>
        <w:gridCol w:w="891"/>
        <w:gridCol w:w="891"/>
        <w:gridCol w:w="891"/>
        <w:gridCol w:w="891"/>
        <w:gridCol w:w="89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序号</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姓名</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性别</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年龄</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专业</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学历</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执业</w:t>
            </w:r>
          </w:p>
          <w:p>
            <w:pPr>
              <w:widowControl/>
              <w:adjustRightInd w:val="0"/>
              <w:jc w:val="center"/>
              <w:rPr>
                <w:rFonts w:ascii="宋体" w:hAnsi="宋体"/>
                <w:b/>
                <w:bCs/>
                <w:kern w:val="0"/>
                <w:szCs w:val="21"/>
              </w:rPr>
            </w:pPr>
            <w:r>
              <w:rPr>
                <w:rFonts w:hint="eastAsia" w:ascii="宋体" w:hAnsi="宋体"/>
                <w:b/>
                <w:bCs/>
                <w:kern w:val="0"/>
                <w:szCs w:val="21"/>
              </w:rPr>
              <w:t>资格</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证书号</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技术职称</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bl>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说明：</w:t>
      </w:r>
      <w:r>
        <w:rPr>
          <w:rFonts w:hint="eastAsia"/>
          <w:lang w:val="zh-CN"/>
        </w:rPr>
        <w:t>拟参与本项目服务人员一览表格式和内容自拟，上表可供参考，</w:t>
      </w:r>
      <w:r>
        <w:rPr>
          <w:rFonts w:ascii="宋体" w:hAnsi="宋体"/>
          <w:kern w:val="0"/>
          <w:szCs w:val="21"/>
        </w:rPr>
        <w:t>如果行数不够，请自行增加。</w:t>
      </w:r>
    </w:p>
    <w:bookmarkEnd w:id="76"/>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adjustRightInd w:val="0"/>
        <w:rPr>
          <w:rFonts w:ascii="宋体" w:hAnsi="宋体"/>
          <w:kern w:val="0"/>
          <w:szCs w:val="21"/>
        </w:rPr>
      </w:pPr>
    </w:p>
    <w:p>
      <w:pPr>
        <w:widowControl/>
        <w:adjustRightInd w:val="0"/>
        <w:rPr>
          <w:rFonts w:ascii="宋体" w:hAnsi="宋体"/>
          <w:b/>
          <w:bCs/>
          <w:kern w:val="0"/>
          <w:szCs w:val="21"/>
        </w:rPr>
      </w:pPr>
      <w:r>
        <w:rPr>
          <w:rFonts w:ascii="宋体" w:hAnsi="宋体"/>
          <w:b/>
          <w:bCs/>
          <w:kern w:val="0"/>
          <w:szCs w:val="21"/>
        </w:rPr>
        <w:br w:type="page"/>
      </w:r>
    </w:p>
    <w:p>
      <w:pPr>
        <w:pStyle w:val="5"/>
        <w:numPr>
          <w:ilvl w:val="1"/>
          <w:numId w:val="0"/>
        </w:numPr>
      </w:pPr>
      <w:bookmarkStart w:id="79" w:name="_Toc43917779"/>
      <w:bookmarkStart w:id="80" w:name="_Toc66375432"/>
      <w:r>
        <w:rPr>
          <w:rFonts w:hint="eastAsia"/>
        </w:rPr>
        <w:t>附件十、投标人类似业绩情况表</w:t>
      </w:r>
      <w:bookmarkEnd w:id="79"/>
      <w:bookmarkEnd w:id="80"/>
    </w:p>
    <w:p>
      <w:pPr>
        <w:widowControl/>
        <w:adjustRightInd w:val="0"/>
        <w:spacing w:line="360" w:lineRule="auto"/>
        <w:jc w:val="center"/>
        <w:rPr>
          <w:rFonts w:ascii="宋体" w:hAnsi="宋体"/>
          <w:b/>
          <w:bCs/>
          <w:kern w:val="0"/>
          <w:sz w:val="24"/>
        </w:rPr>
      </w:pPr>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投标人类似业绩情况表</w:t>
      </w:r>
    </w:p>
    <w:p>
      <w:pPr>
        <w:autoSpaceDE w:val="0"/>
        <w:autoSpaceDN w:val="0"/>
        <w:adjustRightInd w:val="0"/>
        <w:spacing w:line="360" w:lineRule="auto"/>
        <w:jc w:val="left"/>
        <w:rPr>
          <w:rFonts w:ascii="宋体" w:hAnsi="宋体"/>
          <w:b/>
          <w:sz w:val="32"/>
          <w:szCs w:val="32"/>
        </w:rPr>
      </w:pPr>
      <w:r>
        <w:rPr>
          <w:rFonts w:hint="eastAsia" w:ascii="宋体" w:hAnsi="宋体"/>
          <w:kern w:val="0"/>
          <w:szCs w:val="21"/>
        </w:rPr>
        <w:t xml:space="preserve">项目名称：                            </w:t>
      </w:r>
      <w:r>
        <w:rPr>
          <w:rFonts w:ascii="宋体" w:hAnsi="宋体"/>
          <w:kern w:val="0"/>
          <w:szCs w:val="21"/>
        </w:rPr>
        <w:t xml:space="preserve">              </w:t>
      </w:r>
      <w:r>
        <w:rPr>
          <w:rFonts w:hint="eastAsia" w:ascii="宋体" w:hAnsi="宋体"/>
          <w:kern w:val="0"/>
          <w:szCs w:val="21"/>
        </w:rPr>
        <w:t xml:space="preserve">     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2310"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2257" w:type="dxa"/>
            <w:vAlign w:val="center"/>
          </w:tcPr>
          <w:p>
            <w:pPr>
              <w:spacing w:line="360" w:lineRule="auto"/>
              <w:jc w:val="center"/>
              <w:rPr>
                <w:rFonts w:ascii="宋体" w:hAnsi="宋体"/>
                <w:b/>
                <w:bCs/>
                <w:szCs w:val="21"/>
              </w:rPr>
            </w:pPr>
            <w:r>
              <w:rPr>
                <w:rFonts w:hint="eastAsia" w:ascii="宋体" w:hAnsi="宋体"/>
                <w:b/>
                <w:bCs/>
                <w:szCs w:val="21"/>
              </w:rPr>
              <w:t>采购单位</w:t>
            </w:r>
          </w:p>
        </w:tc>
        <w:tc>
          <w:tcPr>
            <w:tcW w:w="1255" w:type="dxa"/>
            <w:vAlign w:val="center"/>
          </w:tcPr>
          <w:p>
            <w:pPr>
              <w:spacing w:line="360" w:lineRule="auto"/>
              <w:jc w:val="center"/>
              <w:rPr>
                <w:rFonts w:ascii="宋体" w:hAnsi="宋体"/>
                <w:b/>
                <w:bCs/>
                <w:szCs w:val="21"/>
              </w:rPr>
            </w:pPr>
            <w:r>
              <w:rPr>
                <w:rFonts w:hint="eastAsia" w:ascii="宋体" w:hAnsi="宋体"/>
                <w:b/>
                <w:bCs/>
                <w:szCs w:val="21"/>
              </w:rPr>
              <w:t>合同金额</w:t>
            </w:r>
          </w:p>
        </w:tc>
        <w:tc>
          <w:tcPr>
            <w:tcW w:w="1418" w:type="dxa"/>
          </w:tcPr>
          <w:p>
            <w:pPr>
              <w:spacing w:line="360" w:lineRule="auto"/>
              <w:jc w:val="center"/>
              <w:rPr>
                <w:rFonts w:ascii="宋体" w:hAnsi="宋体"/>
                <w:b/>
                <w:bCs/>
                <w:szCs w:val="21"/>
              </w:rPr>
            </w:pPr>
            <w:r>
              <w:rPr>
                <w:rFonts w:hint="eastAsia" w:ascii="宋体" w:hAnsi="宋体"/>
                <w:b/>
                <w:bCs/>
                <w:szCs w:val="21"/>
              </w:rPr>
              <w:t>合同签定</w:t>
            </w:r>
          </w:p>
          <w:p>
            <w:pPr>
              <w:spacing w:line="360" w:lineRule="auto"/>
              <w:jc w:val="center"/>
              <w:rPr>
                <w:rFonts w:ascii="宋体" w:hAnsi="宋体"/>
                <w:b/>
                <w:bCs/>
                <w:szCs w:val="21"/>
              </w:rPr>
            </w:pPr>
            <w:r>
              <w:rPr>
                <w:rFonts w:hint="eastAsia" w:ascii="宋体" w:hAnsi="宋体"/>
                <w:b/>
                <w:bCs/>
                <w:szCs w:val="21"/>
              </w:rPr>
              <w:t>时间</w:t>
            </w:r>
          </w:p>
        </w:tc>
        <w:tc>
          <w:tcPr>
            <w:tcW w:w="1134" w:type="dxa"/>
          </w:tcPr>
          <w:p>
            <w:pPr>
              <w:spacing w:line="360" w:lineRule="auto"/>
              <w:jc w:val="center"/>
              <w:rPr>
                <w:rFonts w:ascii="宋体" w:hAnsi="宋体"/>
                <w:b/>
                <w:bCs/>
                <w:szCs w:val="21"/>
              </w:rPr>
            </w:pPr>
            <w:r>
              <w:rPr>
                <w:rFonts w:hint="eastAsia" w:ascii="宋体" w:hAnsi="宋体"/>
                <w:b/>
                <w:bCs/>
                <w:szCs w:val="21"/>
              </w:rPr>
              <w:t>联系人及电话</w:t>
            </w:r>
          </w:p>
        </w:tc>
        <w:tc>
          <w:tcPr>
            <w:tcW w:w="969"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ind w:firstLine="120" w:firstLineChars="50"/>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bl>
    <w:p>
      <w:pPr>
        <w:autoSpaceDE w:val="0"/>
        <w:autoSpaceDN w:val="0"/>
        <w:adjustRightInd w:val="0"/>
        <w:spacing w:line="360" w:lineRule="auto"/>
        <w:rPr>
          <w:rFonts w:ascii="宋体" w:hAnsi="宋体"/>
          <w:b/>
          <w:sz w:val="24"/>
        </w:rPr>
      </w:pPr>
      <w:bookmarkStart w:id="81" w:name="_Hlk66784249"/>
    </w:p>
    <w:p>
      <w:pPr>
        <w:autoSpaceDE w:val="0"/>
        <w:autoSpaceDN w:val="0"/>
        <w:adjustRightInd w:val="0"/>
        <w:spacing w:line="360" w:lineRule="auto"/>
        <w:rPr>
          <w:rFonts w:ascii="宋体" w:hAnsi="宋体"/>
          <w:b/>
          <w:sz w:val="24"/>
        </w:rPr>
      </w:pPr>
      <w:r>
        <w:rPr>
          <w:rFonts w:hint="eastAsia" w:ascii="宋体" w:hAnsi="宋体"/>
          <w:b/>
          <w:sz w:val="24"/>
        </w:rPr>
        <w:t>说</w:t>
      </w:r>
      <w:r>
        <w:rPr>
          <w:rFonts w:hint="eastAsia" w:ascii="宋体" w:hAnsi="宋体"/>
          <w:b/>
          <w:szCs w:val="21"/>
        </w:rPr>
        <w:t>明：投标人如实填写业绩情况表，</w:t>
      </w:r>
      <w:bookmarkStart w:id="82" w:name="_Hlk66378132"/>
      <w:r>
        <w:rPr>
          <w:rFonts w:hint="eastAsia" w:ascii="宋体" w:hAnsi="宋体"/>
          <w:b/>
          <w:szCs w:val="21"/>
        </w:rPr>
        <w:t>并根据招标文件要求附业绩证明材料。</w:t>
      </w:r>
      <w:bookmarkEnd w:id="82"/>
    </w:p>
    <w:bookmarkEnd w:id="81"/>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adjustRightInd w:val="0"/>
        <w:spacing w:line="360" w:lineRule="auto"/>
        <w:rPr>
          <w:rFonts w:ascii="宋体" w:hAnsi="宋体"/>
          <w:b/>
          <w:bCs/>
          <w:kern w:val="0"/>
          <w:szCs w:val="21"/>
        </w:rPr>
      </w:pPr>
    </w:p>
    <w:p>
      <w:pPr>
        <w:widowControl/>
        <w:adjustRightInd w:val="0"/>
        <w:spacing w:line="360" w:lineRule="auto"/>
        <w:rPr>
          <w:rFonts w:ascii="宋体" w:hAnsi="宋体"/>
          <w:b/>
          <w:bCs/>
          <w:kern w:val="0"/>
          <w:szCs w:val="21"/>
        </w:rPr>
      </w:pPr>
    </w:p>
    <w:p>
      <w:pPr>
        <w:spacing w:line="360" w:lineRule="auto"/>
        <w:rPr>
          <w:rFonts w:ascii="宋体" w:hAnsi="宋体"/>
        </w:rPr>
      </w:pPr>
      <w:r>
        <w:rPr>
          <w:rFonts w:ascii="宋体" w:hAnsi="宋体"/>
        </w:rPr>
        <w:br w:type="page"/>
      </w:r>
    </w:p>
    <w:p>
      <w:pPr>
        <w:pStyle w:val="5"/>
      </w:pPr>
      <w:bookmarkStart w:id="83" w:name="_Toc43917780"/>
      <w:bookmarkStart w:id="84" w:name="_Toc66375433"/>
      <w:r>
        <w:rPr>
          <w:rFonts w:hint="eastAsia"/>
        </w:rPr>
        <w:t>附件十一、企业声明函格式</w:t>
      </w:r>
      <w:bookmarkEnd w:id="83"/>
      <w:bookmarkEnd w:id="84"/>
    </w:p>
    <w:p>
      <w:pPr>
        <w:spacing w:line="360" w:lineRule="auto"/>
        <w:jc w:val="center"/>
        <w:rPr>
          <w:rFonts w:ascii="Arial" w:hAnsi="Arial" w:cs="Arial"/>
          <w:b/>
          <w:bCs/>
          <w:sz w:val="28"/>
          <w:szCs w:val="28"/>
        </w:rPr>
      </w:pPr>
      <w:bookmarkStart w:id="85" w:name="OLE_LINK13"/>
      <w:bookmarkStart w:id="86" w:name="OLE_LINK14"/>
      <w:r>
        <w:rPr>
          <w:rFonts w:hint="eastAsia" w:ascii="宋体" w:hAnsi="宋体" w:cs="Arial"/>
          <w:b/>
          <w:bCs/>
          <w:sz w:val="28"/>
          <w:szCs w:val="28"/>
        </w:rPr>
        <w:t>中小企业声明函（货物）</w:t>
      </w:r>
    </w:p>
    <w:p>
      <w:pPr>
        <w:widowControl/>
        <w:spacing w:line="440" w:lineRule="exact"/>
        <w:ind w:firstLine="420" w:firstLineChars="200"/>
        <w:jc w:val="left"/>
        <w:rPr>
          <w:rFonts w:ascii="Arial" w:hAnsi="Arial" w:cs="Arial"/>
          <w:kern w:val="0"/>
          <w:szCs w:val="21"/>
        </w:rPr>
      </w:pPr>
      <w:r>
        <w:rPr>
          <w:rFonts w:hint="eastAsia" w:ascii="宋体" w:hAnsi="宋体" w:cs="Arial"/>
          <w:kern w:val="0"/>
        </w:rPr>
        <w:t>本公司（联合体）郑重声明，根据《政府采购促进中小企业发展管理办法》（财库〔</w:t>
      </w:r>
      <w:r>
        <w:rPr>
          <w:rFonts w:hint="eastAsia" w:ascii="Arial" w:hAnsi="Arial" w:cs="Arial"/>
          <w:kern w:val="0"/>
        </w:rPr>
        <w:t xml:space="preserve">2020 </w:t>
      </w:r>
      <w:r>
        <w:rPr>
          <w:rFonts w:hint="eastAsia" w:ascii="宋体" w:hAnsi="宋体" w:cs="Arial"/>
          <w:kern w:val="0"/>
        </w:rPr>
        <w:t xml:space="preserve">） </w:t>
      </w:r>
      <w:r>
        <w:rPr>
          <w:rFonts w:hint="eastAsia" w:ascii="Arial" w:hAnsi="Arial" w:cs="Arial"/>
          <w:kern w:val="0"/>
        </w:rPr>
        <w:t>46</w:t>
      </w:r>
      <w:r>
        <w:rPr>
          <w:rFonts w:hint="eastAsia" w:ascii="宋体" w:hAnsi="宋体" w:cs="Arial"/>
          <w:kern w:val="0"/>
        </w:rPr>
        <w:t>号）的规定，本公司 （联合体）参加</w:t>
      </w:r>
      <w:r>
        <w:rPr>
          <w:rFonts w:hint="eastAsia" w:ascii="宋体" w:hAnsi="宋体" w:cs="Arial"/>
          <w:kern w:val="0"/>
          <w:u w:val="single"/>
        </w:rPr>
        <w:t>（单位名称）</w:t>
      </w:r>
      <w:r>
        <w:rPr>
          <w:rFonts w:hint="eastAsia" w:ascii="宋体" w:hAnsi="宋体" w:cs="Arial"/>
          <w:kern w:val="0"/>
        </w:rPr>
        <w:t>的</w:t>
      </w:r>
      <w:r>
        <w:rPr>
          <w:rFonts w:hint="eastAsia" w:ascii="宋体" w:hAnsi="宋体" w:cs="Arial"/>
          <w:kern w:val="0"/>
          <w:u w:val="single"/>
        </w:rPr>
        <w:t>（项目名称）</w:t>
      </w:r>
      <w:r>
        <w:rPr>
          <w:rFonts w:hint="eastAsia" w:ascii="宋体" w:hAnsi="宋体" w:cs="Arial"/>
          <w:kern w:val="0"/>
        </w:rPr>
        <w:t>采购活动</w:t>
      </w:r>
      <w:r>
        <w:rPr>
          <w:rFonts w:hint="eastAsia" w:ascii="Arial" w:hAnsi="Arial" w:cs="Arial"/>
          <w:kern w:val="0"/>
        </w:rPr>
        <w:t>,</w:t>
      </w:r>
      <w:r>
        <w:rPr>
          <w:rFonts w:hint="eastAsia" w:ascii="宋体" w:hAnsi="宋体" w:cs="Arial"/>
          <w:kern w:val="0"/>
        </w:rPr>
        <w:t>提 供的货物全部由符合政策要求的中小企业制造。相关企业（含联合体中的中小企业、签订分包意向协议的中小企业）的具体情况如下：</w:t>
      </w:r>
    </w:p>
    <w:p>
      <w:pPr>
        <w:widowControl/>
        <w:spacing w:line="440" w:lineRule="exact"/>
        <w:ind w:firstLine="420" w:firstLineChars="200"/>
        <w:jc w:val="left"/>
        <w:rPr>
          <w:rFonts w:ascii="Arial" w:hAnsi="Arial" w:cs="Arial"/>
          <w:kern w:val="0"/>
        </w:rPr>
      </w:pPr>
      <w:r>
        <w:rPr>
          <w:rFonts w:hint="eastAsia" w:ascii="Arial" w:hAnsi="Arial" w:cs="Arial"/>
          <w:kern w:val="0"/>
        </w:rPr>
        <w:t>1.</w:t>
      </w:r>
      <w:r>
        <w:rPr>
          <w:rFonts w:hint="eastAsia" w:ascii="宋体" w:hAnsi="宋体" w:cs="Arial"/>
          <w:kern w:val="0"/>
          <w:u w:val="single"/>
        </w:rPr>
        <w:t>（标的名称）</w:t>
      </w:r>
      <w:r>
        <w:rPr>
          <w:rFonts w:hint="eastAsia" w:ascii="Arial" w:hAnsi="Arial" w:cs="Arial"/>
          <w:kern w:val="0"/>
          <w:u w:val="single"/>
        </w:rPr>
        <w:t>,</w:t>
      </w:r>
      <w:r>
        <w:rPr>
          <w:rFonts w:hint="eastAsia" w:ascii="宋体" w:hAnsi="宋体" w:cs="Arial"/>
          <w:kern w:val="0"/>
        </w:rPr>
        <w:t>属于</w:t>
      </w:r>
      <w:r>
        <w:rPr>
          <w:rFonts w:hint="eastAsia" w:ascii="宋体" w:hAnsi="宋体" w:cs="宋体"/>
          <w:kern w:val="0"/>
          <w:u w:val="single"/>
        </w:rPr>
        <w:t>其他未列明行业</w:t>
      </w:r>
      <w:r>
        <w:rPr>
          <w:rFonts w:hint="eastAsia" w:ascii="宋体" w:hAnsi="宋体" w:cs="Arial"/>
          <w:kern w:val="0"/>
          <w:u w:val="single"/>
        </w:rPr>
        <w:t>（采购项目所属行业）</w:t>
      </w:r>
      <w:r>
        <w:rPr>
          <w:rFonts w:hint="eastAsia" w:ascii="Arial" w:hAnsi="Arial" w:cs="Arial"/>
          <w:kern w:val="0"/>
        </w:rPr>
        <w:t>;</w:t>
      </w:r>
      <w:r>
        <w:rPr>
          <w:rFonts w:hint="eastAsia" w:ascii="宋体" w:hAnsi="宋体" w:cs="Arial"/>
          <w:kern w:val="0"/>
        </w:rPr>
        <w:t>制造商为</w:t>
      </w:r>
      <w:r>
        <w:rPr>
          <w:rFonts w:hint="eastAsia" w:ascii="宋体" w:hAnsi="宋体" w:cs="Arial"/>
          <w:kern w:val="0"/>
          <w:u w:val="single"/>
        </w:rPr>
        <w:t>（企业名称）</w:t>
      </w:r>
      <w:r>
        <w:rPr>
          <w:rFonts w:hint="eastAsia" w:ascii="Arial" w:hAnsi="Arial" w:cs="Arial"/>
          <w:kern w:val="0"/>
        </w:rPr>
        <w:t>,</w:t>
      </w:r>
      <w:r>
        <w:rPr>
          <w:rFonts w:hint="eastAsia" w:ascii="宋体" w:hAnsi="宋体" w:cs="Arial"/>
          <w:kern w:val="0"/>
        </w:rPr>
        <w:t>从业人员</w:t>
      </w:r>
      <w:r>
        <w:rPr>
          <w:rFonts w:hint="eastAsia" w:ascii="Arial" w:hAnsi="Arial" w:cs="Arial"/>
          <w:kern w:val="0"/>
          <w:u w:val="single"/>
        </w:rPr>
        <w:tab/>
      </w:r>
      <w:r>
        <w:rPr>
          <w:rFonts w:hint="eastAsia" w:ascii="宋体" w:hAnsi="宋体" w:cs="Arial"/>
          <w:kern w:val="0"/>
          <w:u w:val="single"/>
        </w:rPr>
        <w:t>人</w:t>
      </w:r>
      <w:r>
        <w:rPr>
          <w:rFonts w:hint="eastAsia" w:ascii="宋体" w:hAnsi="宋体" w:cs="Arial"/>
          <w:kern w:val="0"/>
        </w:rPr>
        <w:t>，营业收入为</w:t>
      </w:r>
      <w:r>
        <w:rPr>
          <w:rFonts w:hint="eastAsia" w:ascii="Arial" w:hAnsi="Arial" w:cs="Arial"/>
          <w:kern w:val="0"/>
          <w:u w:val="single"/>
        </w:rPr>
        <w:tab/>
      </w:r>
      <w:r>
        <w:rPr>
          <w:rFonts w:hint="eastAsia" w:ascii="Arial" w:hAnsi="Arial" w:cs="Arial"/>
          <w:kern w:val="0"/>
          <w:u w:val="single"/>
        </w:rPr>
        <w:t xml:space="preserve">   </w:t>
      </w:r>
      <w:r>
        <w:rPr>
          <w:rFonts w:hint="eastAsia" w:ascii="Arial" w:hAnsi="Arial" w:cs="Arial"/>
          <w:kern w:val="0"/>
        </w:rPr>
        <w:t>万元，资产总额为</w:t>
      </w:r>
      <w:r>
        <w:rPr>
          <w:rFonts w:hint="eastAsia" w:ascii="Arial" w:hAnsi="Arial" w:cs="Arial"/>
          <w:kern w:val="0"/>
          <w:u w:val="single"/>
        </w:rPr>
        <w:tab/>
      </w:r>
      <w:r>
        <w:rPr>
          <w:rFonts w:hint="eastAsia" w:ascii="Arial" w:hAnsi="Arial" w:cs="Arial"/>
          <w:kern w:val="0"/>
          <w:u w:val="single"/>
        </w:rPr>
        <w:t xml:space="preserve">      </w:t>
      </w:r>
      <w:r>
        <w:rPr>
          <w:rFonts w:hint="eastAsia" w:ascii="宋体" w:hAnsi="宋体" w:cs="Arial"/>
          <w:kern w:val="0"/>
          <w:u w:val="single"/>
        </w:rPr>
        <w:t>万</w:t>
      </w:r>
      <w:r>
        <w:rPr>
          <w:rFonts w:hint="eastAsia" w:ascii="宋体" w:hAnsi="宋体" w:cs="Arial"/>
          <w:kern w:val="0"/>
        </w:rPr>
        <w:t>元属于</w:t>
      </w:r>
      <w:r>
        <w:rPr>
          <w:rFonts w:hint="eastAsia" w:ascii="宋体" w:hAnsi="宋体" w:cs="Arial"/>
          <w:kern w:val="0"/>
          <w:u w:val="single"/>
        </w:rPr>
        <w:t>（中型企业、小型企业、微型企业）</w:t>
      </w:r>
      <w:r>
        <w:rPr>
          <w:rFonts w:hint="eastAsia" w:ascii="宋体" w:hAnsi="宋体" w:cs="Arial"/>
          <w:kern w:val="0"/>
        </w:rPr>
        <w:t>；</w:t>
      </w:r>
    </w:p>
    <w:p>
      <w:pPr>
        <w:widowControl/>
        <w:spacing w:line="440" w:lineRule="exact"/>
        <w:ind w:firstLine="420" w:firstLineChars="200"/>
        <w:jc w:val="left"/>
        <w:rPr>
          <w:rFonts w:ascii="Arial" w:hAnsi="Arial" w:cs="Arial"/>
          <w:kern w:val="0"/>
        </w:rPr>
      </w:pPr>
      <w:r>
        <w:rPr>
          <w:rFonts w:hint="eastAsia" w:ascii="Arial" w:hAnsi="Arial" w:cs="Arial"/>
          <w:kern w:val="0"/>
        </w:rPr>
        <w:t>2.</w:t>
      </w:r>
      <w:r>
        <w:rPr>
          <w:rFonts w:hint="eastAsia" w:ascii="宋体" w:hAnsi="宋体" w:cs="Arial"/>
          <w:kern w:val="0"/>
          <w:u w:val="single"/>
        </w:rPr>
        <w:t>（标的名称）</w:t>
      </w:r>
      <w:r>
        <w:rPr>
          <w:rFonts w:hint="eastAsia" w:ascii="Arial" w:hAnsi="Arial" w:cs="Arial"/>
          <w:kern w:val="0"/>
        </w:rPr>
        <w:t>,</w:t>
      </w:r>
      <w:r>
        <w:rPr>
          <w:rFonts w:hint="eastAsia" w:ascii="宋体" w:hAnsi="宋体" w:cs="Arial"/>
          <w:kern w:val="0"/>
        </w:rPr>
        <w:t>属于</w:t>
      </w:r>
      <w:r>
        <w:rPr>
          <w:rFonts w:hint="eastAsia" w:ascii="宋体" w:hAnsi="宋体" w:cs="宋体"/>
          <w:kern w:val="0"/>
          <w:u w:val="single"/>
        </w:rPr>
        <w:t>其他未列明行业</w:t>
      </w:r>
      <w:r>
        <w:rPr>
          <w:rFonts w:hint="eastAsia" w:ascii="宋体" w:hAnsi="宋体" w:cs="Arial"/>
          <w:kern w:val="0"/>
          <w:u w:val="single"/>
        </w:rPr>
        <w:t>（采购项目所属行业）</w:t>
      </w:r>
      <w:r>
        <w:rPr>
          <w:rFonts w:hint="eastAsia" w:ascii="宋体" w:hAnsi="宋体" w:cs="Arial"/>
          <w:kern w:val="0"/>
        </w:rPr>
        <w:t>；制造商为</w:t>
      </w:r>
      <w:r>
        <w:rPr>
          <w:rFonts w:hint="eastAsia" w:ascii="宋体" w:hAnsi="宋体" w:cs="Arial"/>
          <w:kern w:val="0"/>
          <w:u w:val="single"/>
        </w:rPr>
        <w:t>（企业名称）</w:t>
      </w:r>
      <w:r>
        <w:rPr>
          <w:rFonts w:hint="eastAsia" w:ascii="Arial" w:hAnsi="Arial" w:cs="Arial"/>
          <w:kern w:val="0"/>
        </w:rPr>
        <w:t>,</w:t>
      </w:r>
      <w:r>
        <w:rPr>
          <w:rFonts w:hint="eastAsia" w:ascii="宋体" w:hAnsi="宋体" w:cs="Arial"/>
          <w:kern w:val="0"/>
        </w:rPr>
        <w:t>从业人员</w:t>
      </w:r>
      <w:r>
        <w:rPr>
          <w:rFonts w:hint="eastAsia" w:ascii="Arial" w:hAnsi="Arial" w:cs="Arial"/>
          <w:kern w:val="0"/>
          <w:u w:val="single"/>
        </w:rPr>
        <w:tab/>
      </w:r>
      <w:r>
        <w:rPr>
          <w:rFonts w:hint="eastAsia" w:ascii="宋体" w:hAnsi="宋体" w:cs="Arial"/>
          <w:kern w:val="0"/>
          <w:u w:val="single"/>
        </w:rPr>
        <w:t>人</w:t>
      </w:r>
      <w:r>
        <w:rPr>
          <w:rFonts w:hint="eastAsia" w:ascii="宋体" w:hAnsi="宋体" w:cs="Arial"/>
          <w:kern w:val="0"/>
        </w:rPr>
        <w:t>，营业收入为</w:t>
      </w:r>
      <w:r>
        <w:rPr>
          <w:rFonts w:hint="eastAsia" w:ascii="Arial" w:hAnsi="Arial" w:cs="Arial"/>
          <w:kern w:val="0"/>
          <w:u w:val="single"/>
        </w:rPr>
        <w:tab/>
      </w:r>
      <w:r>
        <w:rPr>
          <w:rFonts w:hint="eastAsia" w:ascii="Arial" w:hAnsi="Arial" w:cs="Arial"/>
          <w:kern w:val="0"/>
          <w:u w:val="single"/>
        </w:rPr>
        <w:t xml:space="preserve">   </w:t>
      </w:r>
      <w:r>
        <w:rPr>
          <w:rFonts w:hint="eastAsia" w:ascii="宋体" w:hAnsi="宋体" w:cs="Arial"/>
          <w:kern w:val="0"/>
        </w:rPr>
        <w:t>万元，资产总额为</w:t>
      </w:r>
      <w:r>
        <w:rPr>
          <w:rFonts w:hint="eastAsia" w:ascii="Arial" w:hAnsi="Arial" w:cs="Arial"/>
          <w:kern w:val="0"/>
          <w:u w:val="single"/>
        </w:rPr>
        <w:tab/>
      </w:r>
      <w:r>
        <w:rPr>
          <w:rFonts w:hint="eastAsia" w:ascii="Arial" w:hAnsi="Arial" w:cs="Arial"/>
          <w:kern w:val="0"/>
          <w:u w:val="single"/>
        </w:rPr>
        <w:t xml:space="preserve">        </w:t>
      </w:r>
      <w:r>
        <w:rPr>
          <w:rFonts w:hint="eastAsia" w:ascii="宋体" w:hAnsi="宋体" w:cs="Arial"/>
          <w:kern w:val="0"/>
        </w:rPr>
        <w:t>万元，属于</w:t>
      </w:r>
      <w:r>
        <w:rPr>
          <w:rFonts w:hint="eastAsia" w:ascii="宋体" w:hAnsi="宋体" w:cs="Arial"/>
          <w:kern w:val="0"/>
          <w:u w:val="single"/>
        </w:rPr>
        <w:t>（中型企业、小型企业、微型企业）</w:t>
      </w:r>
      <w:r>
        <w:rPr>
          <w:rFonts w:hint="eastAsia" w:ascii="宋体" w:hAnsi="宋体" w:cs="Arial"/>
          <w:kern w:val="0"/>
        </w:rPr>
        <w:t>；</w:t>
      </w:r>
    </w:p>
    <w:p>
      <w:pPr>
        <w:widowControl/>
        <w:spacing w:line="440" w:lineRule="exact"/>
        <w:ind w:firstLine="420" w:firstLineChars="200"/>
        <w:jc w:val="left"/>
        <w:rPr>
          <w:rFonts w:ascii="Arial" w:hAnsi="Arial" w:cs="Arial"/>
          <w:kern w:val="0"/>
        </w:rPr>
      </w:pPr>
      <w:r>
        <w:rPr>
          <w:rFonts w:hint="eastAsia" w:ascii="宋体" w:hAnsi="宋体" w:cs="Arial"/>
          <w:kern w:val="0"/>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ascii="Arial" w:hAnsi="Arial" w:cs="Arial"/>
          <w:kern w:val="0"/>
        </w:rPr>
      </w:pPr>
      <w:r>
        <w:rPr>
          <w:rFonts w:hint="eastAsia" w:ascii="宋体" w:hAnsi="宋体" w:cs="Arial"/>
          <w:kern w:val="0"/>
        </w:rPr>
        <w:t>本企业对上述声明内容的真实性负责。如有虚假，将依法承担相应责任。</w:t>
      </w:r>
    </w:p>
    <w:p>
      <w:pPr>
        <w:widowControl/>
        <w:spacing w:line="440" w:lineRule="exact"/>
        <w:ind w:firstLine="420" w:firstLineChars="200"/>
        <w:jc w:val="right"/>
        <w:rPr>
          <w:rFonts w:ascii="Arial" w:hAnsi="Arial" w:cs="Arial"/>
          <w:kern w:val="0"/>
        </w:rPr>
      </w:pPr>
      <w:r>
        <w:rPr>
          <w:rFonts w:hint="eastAsia" w:ascii="宋体" w:hAnsi="宋体" w:cs="Arial"/>
          <w:kern w:val="0"/>
        </w:rPr>
        <w:t>企业名称（盖章）</w:t>
      </w:r>
      <w:r>
        <w:rPr>
          <w:rFonts w:hint="eastAsia" w:ascii="Arial" w:hAnsi="Arial" w:cs="Arial"/>
          <w:kern w:val="0"/>
        </w:rPr>
        <w:t>:</w:t>
      </w:r>
    </w:p>
    <w:p>
      <w:pPr>
        <w:widowControl/>
        <w:spacing w:line="440" w:lineRule="exact"/>
        <w:ind w:right="1050" w:firstLine="420" w:firstLineChars="200"/>
        <w:jc w:val="right"/>
        <w:rPr>
          <w:rFonts w:ascii="Arial" w:hAnsi="Arial" w:cs="Arial"/>
          <w:kern w:val="0"/>
        </w:rPr>
      </w:pPr>
      <w:r>
        <w:rPr>
          <w:rFonts w:hint="eastAsia" w:ascii="宋体" w:hAnsi="宋体" w:cs="Arial"/>
          <w:kern w:val="0"/>
        </w:rPr>
        <w:t>日期：</w:t>
      </w:r>
    </w:p>
    <w:p>
      <w:pPr>
        <w:spacing w:line="360" w:lineRule="auto"/>
        <w:rPr>
          <w:rFonts w:ascii="宋体" w:hAnsi="宋体"/>
          <w:b/>
          <w:bCs/>
          <w:sz w:val="28"/>
        </w:rPr>
      </w:pPr>
    </w:p>
    <w:p>
      <w:pPr>
        <w:spacing w:line="360" w:lineRule="auto"/>
        <w:jc w:val="center"/>
        <w:rPr>
          <w:rFonts w:ascii="宋体" w:hAnsi="宋体"/>
          <w:b/>
          <w:bCs/>
          <w:sz w:val="28"/>
        </w:rPr>
      </w:pPr>
      <w:r>
        <w:rPr>
          <w:rFonts w:hint="eastAsia" w:ascii="宋体" w:hAnsi="宋体"/>
          <w:b/>
          <w:bCs/>
          <w:sz w:val="28"/>
        </w:rPr>
        <w:t>残疾人福利性单位声明函</w:t>
      </w:r>
    </w:p>
    <w:bookmarkEnd w:id="85"/>
    <w:bookmarkEnd w:id="86"/>
    <w:p>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本单位对上述声明的真实性负责。如有虚假，将依法承担相应责任。</w:t>
      </w:r>
    </w:p>
    <w:p>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单位名称（盖章）：</w:t>
      </w:r>
    </w:p>
    <w:p>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日  期：</w:t>
      </w: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jc w:val="center"/>
        <w:rPr>
          <w:rFonts w:ascii="宋体" w:hAnsi="宋体"/>
          <w:b/>
          <w:bCs/>
          <w:sz w:val="28"/>
        </w:rPr>
      </w:pPr>
    </w:p>
    <w:p>
      <w:pPr>
        <w:spacing w:line="360" w:lineRule="auto"/>
        <w:jc w:val="center"/>
        <w:rPr>
          <w:rFonts w:ascii="宋体" w:hAnsi="宋体"/>
          <w:b/>
          <w:bCs/>
          <w:sz w:val="28"/>
        </w:rPr>
      </w:pPr>
      <w:r>
        <w:rPr>
          <w:rFonts w:hint="eastAsia" w:ascii="宋体" w:hAnsi="宋体"/>
          <w:b/>
          <w:bCs/>
          <w:sz w:val="28"/>
        </w:rPr>
        <w:t>属于监狱企业的证明文件</w:t>
      </w:r>
    </w:p>
    <w:p>
      <w:pPr>
        <w:spacing w:line="360" w:lineRule="auto"/>
        <w:rPr>
          <w:rFonts w:ascii="宋体" w:hAnsi="宋体"/>
        </w:rPr>
      </w:pPr>
      <w:r>
        <w:rPr>
          <w:rFonts w:hint="eastAsia" w:ascii="宋体" w:hAnsi="宋体"/>
        </w:rPr>
        <w:t>（</w:t>
      </w:r>
      <w:r>
        <w:rPr>
          <w:rFonts w:ascii="宋体" w:hAnsi="宋体"/>
        </w:rPr>
        <w:t>提供</w:t>
      </w:r>
      <w:r>
        <w:rPr>
          <w:rFonts w:hint="eastAsia" w:ascii="宋体" w:hAnsi="宋体"/>
        </w:rPr>
        <w:t>由省级以上监狱管理局、戒毒管理局(含新疆生产建设兵团)出具的属于监狱企业的证明文件）</w:t>
      </w:r>
    </w:p>
    <w:p>
      <w:pPr>
        <w:spacing w:line="360" w:lineRule="auto"/>
        <w:rPr>
          <w:rFonts w:ascii="宋体" w:hAnsi="宋体"/>
        </w:rPr>
      </w:pPr>
    </w:p>
    <w:p>
      <w:pPr>
        <w:spacing w:line="360" w:lineRule="auto"/>
        <w:rPr>
          <w:rFonts w:ascii="宋体" w:hAnsi="宋体"/>
          <w:b/>
          <w:bCs/>
        </w:rPr>
      </w:pPr>
    </w:p>
    <w:p>
      <w:pPr>
        <w:pStyle w:val="22"/>
        <w:ind w:left="1260"/>
      </w:pPr>
    </w:p>
    <w:p>
      <w:pPr>
        <w:autoSpaceDE w:val="0"/>
        <w:autoSpaceDN w:val="0"/>
        <w:adjustRightInd w:val="0"/>
        <w:spacing w:line="360" w:lineRule="auto"/>
        <w:jc w:val="center"/>
        <w:rPr>
          <w:rFonts w:ascii="宋体" w:cs="宋体"/>
          <w:b/>
          <w:bCs/>
          <w:sz w:val="28"/>
          <w:szCs w:val="28"/>
          <w:lang w:val="zh-CN"/>
        </w:rPr>
      </w:pPr>
      <w:r>
        <w:rPr>
          <w:rFonts w:hint="eastAsia" w:ascii="宋体" w:cs="宋体"/>
          <w:b/>
          <w:bCs/>
          <w:sz w:val="28"/>
          <w:szCs w:val="28"/>
          <w:lang w:val="zh-CN"/>
        </w:rPr>
        <w:t>节能产品认证证书</w:t>
      </w: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（提供国家确定的认证机构出具的、处于有效期之内的产品认证证书）</w:t>
      </w:r>
    </w:p>
    <w:p>
      <w:pPr>
        <w:autoSpaceDE w:val="0"/>
        <w:autoSpaceDN w:val="0"/>
        <w:adjustRightInd w:val="0"/>
        <w:spacing w:line="360" w:lineRule="auto"/>
        <w:rPr>
          <w:rFonts w:ascii="宋体" w:cs="宋体"/>
          <w:b/>
          <w:bCs/>
          <w:szCs w:val="21"/>
          <w:lang w:val="zh-CN"/>
        </w:rPr>
      </w:pPr>
    </w:p>
    <w:p>
      <w:pPr>
        <w:autoSpaceDE w:val="0"/>
        <w:autoSpaceDN w:val="0"/>
        <w:adjustRightInd w:val="0"/>
        <w:spacing w:line="360" w:lineRule="auto"/>
        <w:rPr>
          <w:rFonts w:ascii="宋体" w:cs="宋体"/>
          <w:b/>
          <w:bCs/>
          <w:szCs w:val="21"/>
          <w:lang w:val="zh-CN"/>
        </w:rPr>
      </w:pPr>
    </w:p>
    <w:p>
      <w:pPr>
        <w:autoSpaceDE w:val="0"/>
        <w:autoSpaceDN w:val="0"/>
        <w:adjustRightInd w:val="0"/>
        <w:spacing w:line="360" w:lineRule="auto"/>
        <w:rPr>
          <w:rFonts w:ascii="宋体" w:cs="宋体"/>
          <w:b/>
          <w:bCs/>
          <w:szCs w:val="21"/>
          <w:lang w:val="zh-CN"/>
        </w:rPr>
      </w:pPr>
    </w:p>
    <w:p>
      <w:pPr>
        <w:autoSpaceDE w:val="0"/>
        <w:autoSpaceDN w:val="0"/>
        <w:adjustRightInd w:val="0"/>
        <w:spacing w:line="360" w:lineRule="auto"/>
        <w:rPr>
          <w:rFonts w:ascii="宋体" w:cs="宋体"/>
          <w:b/>
          <w:bCs/>
          <w:szCs w:val="21"/>
          <w:lang w:val="zh-CN"/>
        </w:rPr>
      </w:pPr>
    </w:p>
    <w:p>
      <w:pPr>
        <w:autoSpaceDE w:val="0"/>
        <w:autoSpaceDN w:val="0"/>
        <w:adjustRightInd w:val="0"/>
        <w:spacing w:line="360" w:lineRule="auto"/>
        <w:rPr>
          <w:rFonts w:ascii="宋体" w:cs="宋体"/>
          <w:b/>
          <w:bCs/>
          <w:szCs w:val="21"/>
          <w:lang w:val="zh-CN"/>
        </w:rPr>
      </w:pPr>
    </w:p>
    <w:p>
      <w:pPr>
        <w:autoSpaceDE w:val="0"/>
        <w:autoSpaceDN w:val="0"/>
        <w:adjustRightInd w:val="0"/>
        <w:spacing w:line="360" w:lineRule="auto"/>
        <w:jc w:val="center"/>
        <w:rPr>
          <w:rFonts w:ascii="宋体" w:cs="宋体"/>
          <w:b/>
          <w:bCs/>
          <w:sz w:val="28"/>
          <w:szCs w:val="28"/>
          <w:lang w:val="zh-CN"/>
        </w:rPr>
      </w:pPr>
      <w:r>
        <w:rPr>
          <w:rFonts w:hint="eastAsia" w:ascii="宋体" w:cs="宋体"/>
          <w:b/>
          <w:bCs/>
          <w:sz w:val="28"/>
          <w:szCs w:val="28"/>
          <w:lang w:val="zh-CN"/>
        </w:rPr>
        <w:t>环境标志产品认证证书</w:t>
      </w:r>
    </w:p>
    <w:p>
      <w:pPr>
        <w:spacing w:line="360" w:lineRule="auto"/>
        <w:jc w:val="center"/>
        <w:rPr>
          <w:rFonts w:ascii="宋体" w:hAnsi="宋体"/>
          <w:b/>
          <w:bCs/>
        </w:rPr>
      </w:pPr>
      <w:r>
        <w:rPr>
          <w:rFonts w:hint="eastAsia" w:ascii="宋体" w:cs="宋体"/>
          <w:szCs w:val="21"/>
          <w:lang w:val="zh-CN"/>
        </w:rPr>
        <w:t>（提供国家确定的认证机构出具的、处于有效期之内的产品认证证书）</w:t>
      </w: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sz w:val="28"/>
        </w:rPr>
      </w:pPr>
      <w:r>
        <w:rPr>
          <w:rFonts w:hint="eastAsia" w:ascii="宋体" w:hAnsi="宋体"/>
          <w:b/>
          <w:bCs/>
          <w:sz w:val="28"/>
        </w:rPr>
        <w:t>进口产品转让技术、消化吸收再创新方案</w:t>
      </w:r>
    </w:p>
    <w:p>
      <w:pPr>
        <w:spacing w:line="360" w:lineRule="auto"/>
        <w:jc w:val="center"/>
        <w:rPr>
          <w:rFonts w:ascii="宋体" w:hAnsi="宋体"/>
          <w:bCs/>
        </w:rPr>
      </w:pPr>
      <w:r>
        <w:rPr>
          <w:rFonts w:hint="eastAsia" w:ascii="宋体" w:hAnsi="宋体"/>
          <w:bCs/>
        </w:rPr>
        <w:t>（对于允许进口产品参加的项目）</w:t>
      </w:r>
    </w:p>
    <w:p>
      <w:pPr>
        <w:spacing w:line="360" w:lineRule="auto"/>
        <w:rPr>
          <w:rFonts w:ascii="宋体" w:hAnsi="宋体"/>
          <w:bCs/>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5"/>
        <w:numPr>
          <w:ilvl w:val="1"/>
          <w:numId w:val="0"/>
        </w:numPr>
      </w:pPr>
      <w:bookmarkStart w:id="87" w:name="_Toc66375434"/>
      <w:bookmarkStart w:id="88" w:name="_Toc43917781"/>
      <w:r>
        <w:rPr>
          <w:rFonts w:hint="eastAsia"/>
        </w:rPr>
        <w:t>附件十二、无重大违法记录声明格式</w:t>
      </w:r>
      <w:bookmarkEnd w:id="87"/>
      <w:bookmarkEnd w:id="88"/>
    </w:p>
    <w:p>
      <w:pPr>
        <w:spacing w:line="240" w:lineRule="atLeast"/>
        <w:jc w:val="center"/>
        <w:rPr>
          <w:rFonts w:ascii="黑体" w:eastAsia="黑体"/>
          <w:sz w:val="28"/>
          <w:szCs w:val="36"/>
        </w:rPr>
      </w:pPr>
    </w:p>
    <w:p>
      <w:pPr>
        <w:spacing w:line="240" w:lineRule="atLeas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无重大违法记录声明</w:t>
      </w:r>
    </w:p>
    <w:p>
      <w:pPr>
        <w:spacing w:line="360" w:lineRule="auto"/>
        <w:rPr>
          <w:rFonts w:ascii="黑体" w:eastAsia="黑体"/>
          <w:szCs w:val="21"/>
        </w:rPr>
      </w:pPr>
    </w:p>
    <w:p>
      <w:pPr>
        <w:spacing w:line="360" w:lineRule="auto"/>
        <w:rPr>
          <w:rFonts w:ascii="宋体" w:hAnsi="宋体"/>
          <w:kern w:val="0"/>
          <w:szCs w:val="21"/>
        </w:rPr>
      </w:pPr>
      <w:r>
        <w:rPr>
          <w:rFonts w:hint="eastAsia" w:ascii="宋体" w:hAnsi="宋体"/>
          <w:szCs w:val="21"/>
        </w:rPr>
        <w:t>致：</w:t>
      </w:r>
      <w:r>
        <w:rPr>
          <w:rFonts w:hint="eastAsia" w:ascii="宋体" w:hAnsi="宋体" w:cs="Arial"/>
          <w:szCs w:val="21"/>
        </w:rPr>
        <w:t>南京旅游职业学院</w:t>
      </w:r>
    </w:p>
    <w:p>
      <w:pPr>
        <w:spacing w:line="360" w:lineRule="auto"/>
        <w:ind w:firstLine="420" w:firstLineChars="200"/>
        <w:rPr>
          <w:rFonts w:ascii="宋体" w:hAnsi="宋体"/>
          <w:szCs w:val="21"/>
        </w:rPr>
      </w:pPr>
      <w:r>
        <w:rPr>
          <w:rFonts w:hint="eastAsia" w:ascii="宋体" w:hAnsi="宋体"/>
          <w:szCs w:val="21"/>
        </w:rPr>
        <w:t>江苏国采工程咨询有限公司</w:t>
      </w:r>
    </w:p>
    <w:p>
      <w:pPr>
        <w:spacing w:line="360" w:lineRule="auto"/>
        <w:ind w:firstLine="420" w:firstLineChars="200"/>
        <w:rPr>
          <w:rFonts w:ascii="宋体" w:hAnsi="宋体"/>
        </w:rPr>
      </w:pPr>
      <w:r>
        <w:rPr>
          <w:rFonts w:hint="eastAsia" w:ascii="宋体" w:hAnsi="宋体"/>
        </w:rPr>
        <w:t>我单位（投标人名称）郑重声明：</w:t>
      </w:r>
    </w:p>
    <w:p>
      <w:pPr>
        <w:spacing w:line="360" w:lineRule="auto"/>
        <w:ind w:firstLine="420" w:firstLineChars="200"/>
        <w:rPr>
          <w:rFonts w:ascii="宋体" w:hAnsi="宋体"/>
        </w:rPr>
      </w:pPr>
      <w:r>
        <w:rPr>
          <w:rFonts w:hint="eastAsia" w:ascii="宋体" w:hAnsi="宋体"/>
        </w:rPr>
        <w:t>参加政府采购活动前3年内在经营活动中（在下划线上如实填写：有或没有）重大违法记录。</w:t>
      </w:r>
    </w:p>
    <w:p>
      <w:pPr>
        <w:spacing w:line="360" w:lineRule="auto"/>
        <w:ind w:firstLine="315" w:firstLineChars="150"/>
        <w:rPr>
          <w:rFonts w:ascii="宋体" w:hAnsi="宋体"/>
        </w:rPr>
      </w:pPr>
      <w:r>
        <w:rPr>
          <w:rFonts w:hint="eastAsia" w:ascii="宋体" w:hAnsi="宋体"/>
        </w:rPr>
        <w:t>（说明：政府采购法第二十二条第一款第五项所称重大违法记录，是指投标人因违法经营受到刑事处罚或者责令停产停业、吊销许可证或者执照、较大数额罚款等行政处罚。）</w:t>
      </w:r>
    </w:p>
    <w:p>
      <w:pPr>
        <w:spacing w:line="360" w:lineRule="auto"/>
        <w:rPr>
          <w:rFonts w:ascii="宋体" w:hAnsi="宋体"/>
        </w:rPr>
      </w:pPr>
    </w:p>
    <w:p>
      <w:pPr>
        <w:spacing w:line="360" w:lineRule="auto"/>
        <w:rPr>
          <w:rFonts w:ascii="宋体" w:hAnsi="宋体"/>
        </w:rPr>
      </w:pPr>
    </w:p>
    <w:p>
      <w:pPr>
        <w:spacing w:line="360" w:lineRule="auto"/>
        <w:ind w:firstLine="5103" w:firstLineChars="2430"/>
        <w:rPr>
          <w:rFonts w:ascii="宋体" w:hAnsi="宋体"/>
        </w:rPr>
      </w:pPr>
      <w:r>
        <w:rPr>
          <w:rFonts w:hint="eastAsia" w:ascii="宋体" w:hAnsi="宋体"/>
        </w:rPr>
        <w:t>声明人： （公章）</w:t>
      </w:r>
    </w:p>
    <w:p>
      <w:pPr>
        <w:autoSpaceDE w:val="0"/>
        <w:autoSpaceDN w:val="0"/>
        <w:adjustRightInd w:val="0"/>
        <w:spacing w:line="360" w:lineRule="auto"/>
        <w:ind w:firstLine="5040" w:firstLineChars="2400"/>
        <w:rPr>
          <w:rFonts w:ascii="宋体" w:hAnsi="宋体"/>
          <w:szCs w:val="21"/>
          <w:lang w:val="zh-CN"/>
        </w:rPr>
      </w:pPr>
      <w:r>
        <w:rPr>
          <w:rFonts w:hint="eastAsia" w:ascii="宋体" w:hAnsi="宋体"/>
          <w:szCs w:val="21"/>
          <w:lang w:val="zh-CN"/>
        </w:rPr>
        <w:t xml:space="preserve">日 </w:t>
      </w:r>
      <w:r>
        <w:rPr>
          <w:rFonts w:ascii="宋体" w:hAnsi="宋体"/>
          <w:szCs w:val="21"/>
          <w:lang w:val="zh-CN"/>
        </w:rPr>
        <w:t xml:space="preserve">  </w:t>
      </w:r>
      <w:r>
        <w:rPr>
          <w:rFonts w:hint="eastAsia" w:ascii="宋体" w:hAnsi="宋体"/>
          <w:szCs w:val="21"/>
          <w:lang w:val="zh-CN"/>
        </w:rPr>
        <w:t xml:space="preserve">期： </w:t>
      </w:r>
      <w:r>
        <w:rPr>
          <w:rFonts w:ascii="宋体" w:hAnsi="宋体"/>
          <w:szCs w:val="21"/>
          <w:lang w:val="zh-CN"/>
        </w:rPr>
        <w:t xml:space="preserve">   </w:t>
      </w:r>
      <w:r>
        <w:rPr>
          <w:rFonts w:hint="eastAsia" w:ascii="宋体" w:hAnsi="宋体"/>
          <w:szCs w:val="21"/>
          <w:lang w:val="zh-CN"/>
        </w:rPr>
        <w:t xml:space="preserve">年 </w:t>
      </w:r>
      <w:r>
        <w:rPr>
          <w:rFonts w:ascii="宋体" w:hAnsi="宋体"/>
          <w:szCs w:val="21"/>
          <w:lang w:val="zh-CN"/>
        </w:rPr>
        <w:t xml:space="preserve">  </w:t>
      </w:r>
      <w:r>
        <w:rPr>
          <w:rFonts w:hint="eastAsia" w:ascii="宋体" w:hAnsi="宋体"/>
          <w:szCs w:val="21"/>
          <w:lang w:val="zh-CN"/>
        </w:rPr>
        <w:t xml:space="preserve">月 </w:t>
      </w:r>
      <w:r>
        <w:rPr>
          <w:rFonts w:ascii="宋体" w:hAnsi="宋体"/>
          <w:szCs w:val="21"/>
          <w:lang w:val="zh-CN"/>
        </w:rPr>
        <w:t xml:space="preserve"> </w:t>
      </w:r>
      <w:r>
        <w:rPr>
          <w:rFonts w:hint="eastAsia" w:ascii="宋体" w:hAnsi="宋体"/>
          <w:szCs w:val="21"/>
          <w:lang w:val="zh-CN"/>
        </w:rPr>
        <w:t>日</w:t>
      </w: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b/>
        </w:rPr>
      </w:pPr>
    </w:p>
    <w:p>
      <w:pPr>
        <w:pStyle w:val="5"/>
      </w:pPr>
      <w:bookmarkStart w:id="89" w:name="_Toc43917784"/>
      <w:bookmarkStart w:id="90" w:name="_Toc66375437"/>
      <w:r>
        <w:rPr>
          <w:rFonts w:hint="eastAsia"/>
        </w:rPr>
        <w:t xml:space="preserve">附件十三、 </w:t>
      </w:r>
      <w:bookmarkEnd w:id="89"/>
      <w:r>
        <w:rPr>
          <w:rFonts w:hint="eastAsia"/>
        </w:rPr>
        <w:t>其他</w:t>
      </w:r>
      <w:bookmarkEnd w:id="90"/>
    </w:p>
    <w:p/>
    <w:p/>
    <w:p/>
    <w:p/>
    <w:p/>
    <w:p/>
    <w:p/>
    <w:p/>
    <w:p/>
    <w:sectPr>
      <w:footerReference r:id="rId14" w:type="default"/>
      <w:pgSz w:w="11906" w:h="16838"/>
      <w:pgMar w:top="1440" w:right="1440" w:bottom="1440" w:left="1440" w:header="119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NL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444"/>
        <w:tab w:val="center" w:pos="4253"/>
      </w:tabs>
      <w:jc w:val="lef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-146685</wp:posOffset>
          </wp:positionV>
          <wp:extent cx="326390" cy="259080"/>
          <wp:effectExtent l="0" t="0" r="0" b="0"/>
          <wp:wrapNone/>
          <wp:docPr id="3" name="图片 3"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eb0d.png"/>
                  <pic:cNvPicPr>
                    <a:picLocks noChangeAspect="1" noChangeArrowheads="1"/>
                  </pic:cNvPicPr>
                </pic:nvPicPr>
                <pic:blipFill>
                  <a:blip r:embed="rId1"/>
                  <a:srcRect l="38461" t="15534" r="37413" b="34951"/>
                  <a:stretch>
                    <a:fillRect/>
                  </a:stretch>
                </pic:blipFill>
                <pic:spPr>
                  <a:xfrm>
                    <a:off x="0" y="0"/>
                    <a:ext cx="326390" cy="259080"/>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388620</wp:posOffset>
          </wp:positionH>
          <wp:positionV relativeFrom="paragraph">
            <wp:posOffset>-137160</wp:posOffset>
          </wp:positionV>
          <wp:extent cx="2110105" cy="299085"/>
          <wp:effectExtent l="19050" t="0" r="4445" b="0"/>
          <wp:wrapNone/>
          <wp:docPr id="4" name="图片 4"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2336" behindDoc="0" locked="0" layoutInCell="1" allowOverlap="1">
          <wp:simplePos x="0" y="0"/>
          <wp:positionH relativeFrom="column">
            <wp:posOffset>33655</wp:posOffset>
          </wp:positionH>
          <wp:positionV relativeFrom="paragraph">
            <wp:posOffset>-137160</wp:posOffset>
          </wp:positionV>
          <wp:extent cx="326390" cy="243840"/>
          <wp:effectExtent l="0" t="0" r="0" b="0"/>
          <wp:wrapNone/>
          <wp:docPr id="7"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eb0d.png"/>
                  <pic:cNvPicPr>
                    <a:picLocks noChangeAspect="1" noChangeArrowheads="1"/>
                  </pic:cNvPicPr>
                </pic:nvPicPr>
                <pic:blipFill>
                  <a:blip r:embed="rId1"/>
                  <a:srcRect l="38461" t="15534" r="37413" b="34951"/>
                  <a:stretch>
                    <a:fillRect/>
                  </a:stretch>
                </pic:blipFill>
                <pic:spPr>
                  <a:xfrm>
                    <a:off x="0" y="0"/>
                    <a:ext cx="326390" cy="243840"/>
                  </a:xfrm>
                  <a:prstGeom prst="rect">
                    <a:avLst/>
                  </a:prstGeom>
                  <a:noFill/>
                  <a:ln w="9525">
                    <a:noFill/>
                    <a:miter lim="800000"/>
                    <a:headEnd/>
                    <a:tailEnd/>
                  </a:ln>
                </pic:spPr>
              </pic:pic>
            </a:graphicData>
          </a:graphic>
        </wp:anchor>
      </w:drawing>
    </w:r>
    <w:r>
      <w:drawing>
        <wp:anchor distT="0" distB="0" distL="114300" distR="114300" simplePos="0" relativeHeight="251660288" behindDoc="0" locked="0" layoutInCell="1" allowOverlap="1">
          <wp:simplePos x="0" y="0"/>
          <wp:positionH relativeFrom="column">
            <wp:posOffset>389255</wp:posOffset>
          </wp:positionH>
          <wp:positionV relativeFrom="paragraph">
            <wp:posOffset>-152400</wp:posOffset>
          </wp:positionV>
          <wp:extent cx="2110105" cy="299085"/>
          <wp:effectExtent l="0" t="0" r="0" b="0"/>
          <wp:wrapNone/>
          <wp:docPr id="8"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eb0d.png"/>
                  <pic:cNvPicPr>
                    <a:picLocks noChangeAspect="1" noChangeArrowheads="1"/>
                  </pic:cNvPicPr>
                </pic:nvPicPr>
                <pic:blipFill>
                  <a:blip r:embed="rId1"/>
                  <a:srcRect l="6617" t="66019" r="7910"/>
                  <a:stretch>
                    <a:fillRect/>
                  </a:stretch>
                </pic:blipFill>
                <pic:spPr>
                  <a:xfrm>
                    <a:off x="0" y="0"/>
                    <a:ext cx="2110105" cy="2990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0FCA5"/>
    <w:multiLevelType w:val="singleLevel"/>
    <w:tmpl w:val="A8A0FCA5"/>
    <w:lvl w:ilvl="0" w:tentative="0">
      <w:start w:val="1"/>
      <w:numFmt w:val="decimal"/>
      <w:lvlText w:val="%1."/>
      <w:lvlJc w:val="left"/>
      <w:pPr>
        <w:tabs>
          <w:tab w:val="left" w:pos="312"/>
        </w:tabs>
      </w:pPr>
    </w:lvl>
  </w:abstractNum>
  <w:abstractNum w:abstractNumId="1">
    <w:nsid w:val="C2B2DF6C"/>
    <w:multiLevelType w:val="singleLevel"/>
    <w:tmpl w:val="C2B2DF6C"/>
    <w:lvl w:ilvl="0" w:tentative="0">
      <w:start w:val="1"/>
      <w:numFmt w:val="decimal"/>
      <w:lvlText w:val="%1."/>
      <w:lvlJc w:val="left"/>
      <w:pPr>
        <w:tabs>
          <w:tab w:val="left" w:pos="312"/>
        </w:tabs>
      </w:pPr>
    </w:lvl>
  </w:abstractNum>
  <w:abstractNum w:abstractNumId="2">
    <w:nsid w:val="CB98F5A0"/>
    <w:multiLevelType w:val="singleLevel"/>
    <w:tmpl w:val="CB98F5A0"/>
    <w:lvl w:ilvl="0" w:tentative="0">
      <w:start w:val="1"/>
      <w:numFmt w:val="decimal"/>
      <w:lvlText w:val="%1."/>
      <w:lvlJc w:val="left"/>
      <w:pPr>
        <w:tabs>
          <w:tab w:val="left" w:pos="312"/>
        </w:tabs>
      </w:pPr>
    </w:lvl>
  </w:abstractNum>
  <w:abstractNum w:abstractNumId="3">
    <w:nsid w:val="F257F9A1"/>
    <w:multiLevelType w:val="singleLevel"/>
    <w:tmpl w:val="F257F9A1"/>
    <w:lvl w:ilvl="0" w:tentative="0">
      <w:start w:val="1"/>
      <w:numFmt w:val="decimal"/>
      <w:lvlText w:val="%1."/>
      <w:lvlJc w:val="left"/>
      <w:pPr>
        <w:tabs>
          <w:tab w:val="left" w:pos="312"/>
        </w:tabs>
      </w:pPr>
    </w:lvl>
  </w:abstractNum>
  <w:abstractNum w:abstractNumId="4">
    <w:nsid w:val="00000006"/>
    <w:multiLevelType w:val="multilevel"/>
    <w:tmpl w:val="00000006"/>
    <w:lvl w:ilvl="0" w:tentative="0">
      <w:start w:val="1"/>
      <w:numFmt w:val="chineseCountingThousand"/>
      <w:pStyle w:val="4"/>
      <w:suff w:val="nothing"/>
      <w:lvlText w:val="第%1章"/>
      <w:lvlJc w:val="left"/>
      <w:pPr>
        <w:ind w:left="567"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5">
    <w:nsid w:val="00C7EAED"/>
    <w:multiLevelType w:val="singleLevel"/>
    <w:tmpl w:val="00C7EAED"/>
    <w:lvl w:ilvl="0" w:tentative="0">
      <w:start w:val="1"/>
      <w:numFmt w:val="chineseCounting"/>
      <w:suff w:val="nothing"/>
      <w:lvlText w:val="%1、"/>
      <w:lvlJc w:val="left"/>
      <w:rPr>
        <w:rFonts w:hint="eastAsia"/>
      </w:rPr>
    </w:lvl>
  </w:abstractNum>
  <w:abstractNum w:abstractNumId="6">
    <w:nsid w:val="104D71DA"/>
    <w:multiLevelType w:val="singleLevel"/>
    <w:tmpl w:val="104D71DA"/>
    <w:lvl w:ilvl="0" w:tentative="0">
      <w:start w:val="1"/>
      <w:numFmt w:val="decimal"/>
      <w:lvlText w:val="%1."/>
      <w:lvlJc w:val="left"/>
      <w:pPr>
        <w:tabs>
          <w:tab w:val="left" w:pos="312"/>
        </w:tabs>
      </w:pPr>
    </w:lvl>
  </w:abstractNum>
  <w:abstractNum w:abstractNumId="7">
    <w:nsid w:val="130A2188"/>
    <w:multiLevelType w:val="multilevel"/>
    <w:tmpl w:val="130A2188"/>
    <w:lvl w:ilvl="0" w:tentative="0">
      <w:start w:val="1"/>
      <w:numFmt w:val="chineseCountingThousand"/>
      <w:pStyle w:val="72"/>
      <w:lvlText w:val="%1"/>
      <w:lvlJc w:val="left"/>
      <w:pPr>
        <w:ind w:left="425" w:hanging="425"/>
      </w:pPr>
      <w:rPr>
        <w:rFonts w:hint="eastAsia" w:ascii="Arial Unicode MS" w:hAnsi="Arial Unicode MS" w:eastAsia="微软雅黑"/>
        <w:b/>
        <w:i w:val="0"/>
        <w:lang w:val="en-US"/>
      </w:rPr>
    </w:lvl>
    <w:lvl w:ilvl="1" w:tentative="0">
      <w:start w:val="1"/>
      <w:numFmt w:val="decimal"/>
      <w:pStyle w:val="91"/>
      <w:isLgl/>
      <w:lvlText w:val="%1.%2"/>
      <w:lvlJc w:val="left"/>
      <w:pPr>
        <w:ind w:left="425" w:hanging="425"/>
      </w:pPr>
      <w:rPr>
        <w:rFonts w:hint="eastAsia" w:ascii="Arial Unicode MS" w:hAnsi="Arial Unicode MS" w:eastAsia="微软雅黑"/>
        <w:b/>
        <w:i w:val="0"/>
      </w:rPr>
    </w:lvl>
    <w:lvl w:ilvl="2" w:tentative="0">
      <w:start w:val="1"/>
      <w:numFmt w:val="decimal"/>
      <w:pStyle w:val="105"/>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8">
    <w:nsid w:val="4460F146"/>
    <w:multiLevelType w:val="singleLevel"/>
    <w:tmpl w:val="4460F146"/>
    <w:lvl w:ilvl="0" w:tentative="0">
      <w:start w:val="1"/>
      <w:numFmt w:val="decimal"/>
      <w:lvlText w:val="%1."/>
      <w:lvlJc w:val="left"/>
      <w:pPr>
        <w:tabs>
          <w:tab w:val="left" w:pos="312"/>
        </w:tabs>
      </w:pPr>
    </w:lvl>
  </w:abstractNum>
  <w:abstractNum w:abstractNumId="9">
    <w:nsid w:val="4B7E1367"/>
    <w:multiLevelType w:val="singleLevel"/>
    <w:tmpl w:val="4B7E1367"/>
    <w:lvl w:ilvl="0" w:tentative="0">
      <w:start w:val="1"/>
      <w:numFmt w:val="chineseCounting"/>
      <w:suff w:val="nothing"/>
      <w:lvlText w:val="%1、"/>
      <w:lvlJc w:val="left"/>
      <w:rPr>
        <w:rFonts w:hint="eastAsia"/>
      </w:rPr>
    </w:lvl>
  </w:abstractNum>
  <w:abstractNum w:abstractNumId="10">
    <w:nsid w:val="5915610C"/>
    <w:multiLevelType w:val="singleLevel"/>
    <w:tmpl w:val="5915610C"/>
    <w:lvl w:ilvl="0" w:tentative="0">
      <w:start w:val="1"/>
      <w:numFmt w:val="decimal"/>
      <w:suff w:val="nothing"/>
      <w:lvlText w:val="%1、"/>
      <w:lvlJc w:val="left"/>
    </w:lvl>
  </w:abstractNum>
  <w:abstractNum w:abstractNumId="11">
    <w:nsid w:val="7E55ECCE"/>
    <w:multiLevelType w:val="singleLevel"/>
    <w:tmpl w:val="7E55ECCE"/>
    <w:lvl w:ilvl="0" w:tentative="0">
      <w:start w:val="1"/>
      <w:numFmt w:val="decimal"/>
      <w:suff w:val="nothing"/>
      <w:lvlText w:val="（%1）"/>
      <w:lvlJc w:val="left"/>
    </w:lvl>
  </w:abstractNum>
  <w:abstractNum w:abstractNumId="12">
    <w:nsid w:val="7E82B1B9"/>
    <w:multiLevelType w:val="singleLevel"/>
    <w:tmpl w:val="7E82B1B9"/>
    <w:lvl w:ilvl="0" w:tentative="0">
      <w:start w:val="1"/>
      <w:numFmt w:val="decimal"/>
      <w:suff w:val="nothing"/>
      <w:lvlText w:val="（%1）"/>
      <w:lvlJc w:val="left"/>
    </w:lvl>
  </w:abstractNum>
  <w:num w:numId="1">
    <w:abstractNumId w:val="4"/>
  </w:num>
  <w:num w:numId="2">
    <w:abstractNumId w:val="7"/>
  </w:num>
  <w:num w:numId="3">
    <w:abstractNumId w:val="11"/>
  </w:num>
  <w:num w:numId="4">
    <w:abstractNumId w:val="12"/>
  </w:num>
  <w:num w:numId="5">
    <w:abstractNumId w:val="0"/>
  </w:num>
  <w:num w:numId="6">
    <w:abstractNumId w:val="2"/>
  </w:num>
  <w:num w:numId="7">
    <w:abstractNumId w:val="5"/>
  </w:num>
  <w:num w:numId="8">
    <w:abstractNumId w:val="8"/>
  </w:num>
  <w:num w:numId="9">
    <w:abstractNumId w:val="6"/>
  </w:num>
  <w:num w:numId="10">
    <w:abstractNumId w:val="3"/>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hideSpellingErrors/>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857E30"/>
    <w:rsid w:val="000006B5"/>
    <w:rsid w:val="00003D24"/>
    <w:rsid w:val="0001248C"/>
    <w:rsid w:val="000138F0"/>
    <w:rsid w:val="00014CB2"/>
    <w:rsid w:val="00014F66"/>
    <w:rsid w:val="000159B5"/>
    <w:rsid w:val="00015D34"/>
    <w:rsid w:val="000166E0"/>
    <w:rsid w:val="00021A6B"/>
    <w:rsid w:val="00030EB6"/>
    <w:rsid w:val="000312FF"/>
    <w:rsid w:val="00034054"/>
    <w:rsid w:val="00036DCE"/>
    <w:rsid w:val="000370D6"/>
    <w:rsid w:val="000374E2"/>
    <w:rsid w:val="000422EC"/>
    <w:rsid w:val="00042481"/>
    <w:rsid w:val="00043564"/>
    <w:rsid w:val="00051D7E"/>
    <w:rsid w:val="000562AE"/>
    <w:rsid w:val="00072D4C"/>
    <w:rsid w:val="00077213"/>
    <w:rsid w:val="00085D4A"/>
    <w:rsid w:val="00086F38"/>
    <w:rsid w:val="0009047A"/>
    <w:rsid w:val="00094B5A"/>
    <w:rsid w:val="00095642"/>
    <w:rsid w:val="000956A6"/>
    <w:rsid w:val="000A34FE"/>
    <w:rsid w:val="000A4A84"/>
    <w:rsid w:val="000A6576"/>
    <w:rsid w:val="000A6D84"/>
    <w:rsid w:val="000A730F"/>
    <w:rsid w:val="000B1C93"/>
    <w:rsid w:val="000B34C4"/>
    <w:rsid w:val="000B4655"/>
    <w:rsid w:val="000C013A"/>
    <w:rsid w:val="000C2F23"/>
    <w:rsid w:val="000C34A6"/>
    <w:rsid w:val="000D1B31"/>
    <w:rsid w:val="000D5461"/>
    <w:rsid w:val="000D6410"/>
    <w:rsid w:val="000D685E"/>
    <w:rsid w:val="000E37D0"/>
    <w:rsid w:val="000E4519"/>
    <w:rsid w:val="000E58BB"/>
    <w:rsid w:val="000F344E"/>
    <w:rsid w:val="00100D75"/>
    <w:rsid w:val="00102179"/>
    <w:rsid w:val="00106D1D"/>
    <w:rsid w:val="001105E4"/>
    <w:rsid w:val="001107E4"/>
    <w:rsid w:val="00112EC2"/>
    <w:rsid w:val="00114D54"/>
    <w:rsid w:val="001156E6"/>
    <w:rsid w:val="00122A51"/>
    <w:rsid w:val="00130A17"/>
    <w:rsid w:val="00131F51"/>
    <w:rsid w:val="0013211A"/>
    <w:rsid w:val="001359DC"/>
    <w:rsid w:val="00137051"/>
    <w:rsid w:val="00140E7D"/>
    <w:rsid w:val="00162455"/>
    <w:rsid w:val="00164F5E"/>
    <w:rsid w:val="00172A9D"/>
    <w:rsid w:val="00174BF4"/>
    <w:rsid w:val="00175816"/>
    <w:rsid w:val="00180184"/>
    <w:rsid w:val="00185ED9"/>
    <w:rsid w:val="00186C05"/>
    <w:rsid w:val="00191A8C"/>
    <w:rsid w:val="00192DC5"/>
    <w:rsid w:val="00194B3C"/>
    <w:rsid w:val="001950E0"/>
    <w:rsid w:val="001A0E83"/>
    <w:rsid w:val="001A5966"/>
    <w:rsid w:val="001A7BE5"/>
    <w:rsid w:val="001B644D"/>
    <w:rsid w:val="001B6A28"/>
    <w:rsid w:val="001B7EE2"/>
    <w:rsid w:val="001C5A2F"/>
    <w:rsid w:val="001D10FB"/>
    <w:rsid w:val="001D1B52"/>
    <w:rsid w:val="001D2076"/>
    <w:rsid w:val="001D29A1"/>
    <w:rsid w:val="001D5390"/>
    <w:rsid w:val="001F3291"/>
    <w:rsid w:val="001F57AB"/>
    <w:rsid w:val="001F7918"/>
    <w:rsid w:val="001F7965"/>
    <w:rsid w:val="00200B63"/>
    <w:rsid w:val="002036F8"/>
    <w:rsid w:val="00204616"/>
    <w:rsid w:val="00205D81"/>
    <w:rsid w:val="00206930"/>
    <w:rsid w:val="0021764A"/>
    <w:rsid w:val="00222334"/>
    <w:rsid w:val="00223ED2"/>
    <w:rsid w:val="00232F96"/>
    <w:rsid w:val="00234184"/>
    <w:rsid w:val="00234B62"/>
    <w:rsid w:val="00242863"/>
    <w:rsid w:val="002460FF"/>
    <w:rsid w:val="002478E8"/>
    <w:rsid w:val="00247B34"/>
    <w:rsid w:val="00247CFF"/>
    <w:rsid w:val="00250B80"/>
    <w:rsid w:val="00260C17"/>
    <w:rsid w:val="00261B32"/>
    <w:rsid w:val="002631F0"/>
    <w:rsid w:val="00266F89"/>
    <w:rsid w:val="0026707B"/>
    <w:rsid w:val="00270E1D"/>
    <w:rsid w:val="002802B9"/>
    <w:rsid w:val="00283DE2"/>
    <w:rsid w:val="00285400"/>
    <w:rsid w:val="00285693"/>
    <w:rsid w:val="00285FE1"/>
    <w:rsid w:val="00290CF5"/>
    <w:rsid w:val="00291908"/>
    <w:rsid w:val="002930DE"/>
    <w:rsid w:val="00294035"/>
    <w:rsid w:val="00295CC9"/>
    <w:rsid w:val="00295E2A"/>
    <w:rsid w:val="00297FE4"/>
    <w:rsid w:val="002A7C14"/>
    <w:rsid w:val="002B1147"/>
    <w:rsid w:val="002B4902"/>
    <w:rsid w:val="002C06E2"/>
    <w:rsid w:val="002C070B"/>
    <w:rsid w:val="002C0C81"/>
    <w:rsid w:val="002C28D7"/>
    <w:rsid w:val="002D1BAC"/>
    <w:rsid w:val="002D28E5"/>
    <w:rsid w:val="002D7633"/>
    <w:rsid w:val="002E1345"/>
    <w:rsid w:val="002F1994"/>
    <w:rsid w:val="002F3302"/>
    <w:rsid w:val="002F41A0"/>
    <w:rsid w:val="002F4474"/>
    <w:rsid w:val="002F7294"/>
    <w:rsid w:val="00311A10"/>
    <w:rsid w:val="003207DD"/>
    <w:rsid w:val="003427DA"/>
    <w:rsid w:val="00346163"/>
    <w:rsid w:val="0034713A"/>
    <w:rsid w:val="00352BA4"/>
    <w:rsid w:val="00353763"/>
    <w:rsid w:val="003559D7"/>
    <w:rsid w:val="00364671"/>
    <w:rsid w:val="00365EBD"/>
    <w:rsid w:val="00366626"/>
    <w:rsid w:val="00367E6D"/>
    <w:rsid w:val="003708AE"/>
    <w:rsid w:val="00371EBE"/>
    <w:rsid w:val="00375518"/>
    <w:rsid w:val="003853E3"/>
    <w:rsid w:val="00385F71"/>
    <w:rsid w:val="0038758E"/>
    <w:rsid w:val="003912E9"/>
    <w:rsid w:val="00396BEF"/>
    <w:rsid w:val="003A144D"/>
    <w:rsid w:val="003A1BCE"/>
    <w:rsid w:val="003A5E5B"/>
    <w:rsid w:val="003A701C"/>
    <w:rsid w:val="003A71CE"/>
    <w:rsid w:val="003B2181"/>
    <w:rsid w:val="003B4B70"/>
    <w:rsid w:val="003B7405"/>
    <w:rsid w:val="003C32A4"/>
    <w:rsid w:val="003C646F"/>
    <w:rsid w:val="003C6703"/>
    <w:rsid w:val="003D33A9"/>
    <w:rsid w:val="003D383A"/>
    <w:rsid w:val="003D5EB7"/>
    <w:rsid w:val="003D7056"/>
    <w:rsid w:val="003E32A1"/>
    <w:rsid w:val="003E44C7"/>
    <w:rsid w:val="003E6070"/>
    <w:rsid w:val="003F6C5C"/>
    <w:rsid w:val="00403855"/>
    <w:rsid w:val="00421426"/>
    <w:rsid w:val="00421717"/>
    <w:rsid w:val="00423C6A"/>
    <w:rsid w:val="00424CF7"/>
    <w:rsid w:val="00426BCE"/>
    <w:rsid w:val="00430871"/>
    <w:rsid w:val="004317A6"/>
    <w:rsid w:val="00432233"/>
    <w:rsid w:val="00432B8C"/>
    <w:rsid w:val="00432BC7"/>
    <w:rsid w:val="00434FC0"/>
    <w:rsid w:val="0044160C"/>
    <w:rsid w:val="00460495"/>
    <w:rsid w:val="00460D20"/>
    <w:rsid w:val="004614C9"/>
    <w:rsid w:val="00463FA5"/>
    <w:rsid w:val="004717C8"/>
    <w:rsid w:val="004746B5"/>
    <w:rsid w:val="00480E05"/>
    <w:rsid w:val="0048349A"/>
    <w:rsid w:val="00491D6F"/>
    <w:rsid w:val="004975BA"/>
    <w:rsid w:val="004A086C"/>
    <w:rsid w:val="004B1764"/>
    <w:rsid w:val="004B2CC7"/>
    <w:rsid w:val="004B3719"/>
    <w:rsid w:val="004B63FE"/>
    <w:rsid w:val="004C3CF1"/>
    <w:rsid w:val="004C6D07"/>
    <w:rsid w:val="004D21C4"/>
    <w:rsid w:val="004D58FB"/>
    <w:rsid w:val="004D70AD"/>
    <w:rsid w:val="004E2090"/>
    <w:rsid w:val="004E44D3"/>
    <w:rsid w:val="004F35EC"/>
    <w:rsid w:val="004F411F"/>
    <w:rsid w:val="00501971"/>
    <w:rsid w:val="005030BC"/>
    <w:rsid w:val="005067F1"/>
    <w:rsid w:val="00507C73"/>
    <w:rsid w:val="00510927"/>
    <w:rsid w:val="00511B67"/>
    <w:rsid w:val="0051377A"/>
    <w:rsid w:val="00522FE1"/>
    <w:rsid w:val="00523436"/>
    <w:rsid w:val="00524ED4"/>
    <w:rsid w:val="0052559C"/>
    <w:rsid w:val="00526319"/>
    <w:rsid w:val="005345FB"/>
    <w:rsid w:val="00534F1C"/>
    <w:rsid w:val="005354D2"/>
    <w:rsid w:val="00537CB2"/>
    <w:rsid w:val="00540EC0"/>
    <w:rsid w:val="00542012"/>
    <w:rsid w:val="00545A76"/>
    <w:rsid w:val="0055423D"/>
    <w:rsid w:val="00562E74"/>
    <w:rsid w:val="00563BCF"/>
    <w:rsid w:val="0056581D"/>
    <w:rsid w:val="00570B1F"/>
    <w:rsid w:val="00583176"/>
    <w:rsid w:val="00585DF4"/>
    <w:rsid w:val="00592200"/>
    <w:rsid w:val="0059433C"/>
    <w:rsid w:val="005A0C9B"/>
    <w:rsid w:val="005A39A5"/>
    <w:rsid w:val="005A4BFF"/>
    <w:rsid w:val="005A730E"/>
    <w:rsid w:val="005B0EB8"/>
    <w:rsid w:val="005B188B"/>
    <w:rsid w:val="005B23DA"/>
    <w:rsid w:val="005B29CE"/>
    <w:rsid w:val="005B31E7"/>
    <w:rsid w:val="005B3445"/>
    <w:rsid w:val="005B377E"/>
    <w:rsid w:val="005B6FA4"/>
    <w:rsid w:val="005C0E34"/>
    <w:rsid w:val="005C4228"/>
    <w:rsid w:val="005D6F10"/>
    <w:rsid w:val="005E0DD5"/>
    <w:rsid w:val="005E2C03"/>
    <w:rsid w:val="005E4075"/>
    <w:rsid w:val="005F58E7"/>
    <w:rsid w:val="005F71E2"/>
    <w:rsid w:val="0060299A"/>
    <w:rsid w:val="00603AA0"/>
    <w:rsid w:val="006042BA"/>
    <w:rsid w:val="00605391"/>
    <w:rsid w:val="00610009"/>
    <w:rsid w:val="00612D76"/>
    <w:rsid w:val="00615FFC"/>
    <w:rsid w:val="00620421"/>
    <w:rsid w:val="0062135F"/>
    <w:rsid w:val="00624124"/>
    <w:rsid w:val="00625330"/>
    <w:rsid w:val="00626C51"/>
    <w:rsid w:val="0063474F"/>
    <w:rsid w:val="00634925"/>
    <w:rsid w:val="0065104D"/>
    <w:rsid w:val="006529DE"/>
    <w:rsid w:val="00652E1B"/>
    <w:rsid w:val="00654D93"/>
    <w:rsid w:val="00656C69"/>
    <w:rsid w:val="00660722"/>
    <w:rsid w:val="00661427"/>
    <w:rsid w:val="006635FE"/>
    <w:rsid w:val="00663D37"/>
    <w:rsid w:val="00663E3D"/>
    <w:rsid w:val="006747F9"/>
    <w:rsid w:val="00675259"/>
    <w:rsid w:val="0067760C"/>
    <w:rsid w:val="006817AF"/>
    <w:rsid w:val="00690809"/>
    <w:rsid w:val="00690A77"/>
    <w:rsid w:val="006927F0"/>
    <w:rsid w:val="0069351B"/>
    <w:rsid w:val="006943A3"/>
    <w:rsid w:val="006A138A"/>
    <w:rsid w:val="006A27EE"/>
    <w:rsid w:val="006A293F"/>
    <w:rsid w:val="006A5857"/>
    <w:rsid w:val="006A700D"/>
    <w:rsid w:val="006B473F"/>
    <w:rsid w:val="006B4F9F"/>
    <w:rsid w:val="006B5155"/>
    <w:rsid w:val="006B65D0"/>
    <w:rsid w:val="006C2963"/>
    <w:rsid w:val="006C5F56"/>
    <w:rsid w:val="006D367B"/>
    <w:rsid w:val="006E1AEF"/>
    <w:rsid w:val="006E225E"/>
    <w:rsid w:val="006F5621"/>
    <w:rsid w:val="006F6D06"/>
    <w:rsid w:val="006F7D36"/>
    <w:rsid w:val="00700A5B"/>
    <w:rsid w:val="00702F28"/>
    <w:rsid w:val="00705942"/>
    <w:rsid w:val="00705B0B"/>
    <w:rsid w:val="007132C6"/>
    <w:rsid w:val="007146E0"/>
    <w:rsid w:val="00715BF9"/>
    <w:rsid w:val="00716FDC"/>
    <w:rsid w:val="0071724A"/>
    <w:rsid w:val="00723A33"/>
    <w:rsid w:val="00724104"/>
    <w:rsid w:val="00725DAF"/>
    <w:rsid w:val="007336DC"/>
    <w:rsid w:val="00733EA6"/>
    <w:rsid w:val="007363EC"/>
    <w:rsid w:val="00747BEB"/>
    <w:rsid w:val="007503D3"/>
    <w:rsid w:val="00760121"/>
    <w:rsid w:val="0076437F"/>
    <w:rsid w:val="00765B94"/>
    <w:rsid w:val="00766444"/>
    <w:rsid w:val="00767AAA"/>
    <w:rsid w:val="00772E08"/>
    <w:rsid w:val="007755B0"/>
    <w:rsid w:val="00780CD3"/>
    <w:rsid w:val="007813C7"/>
    <w:rsid w:val="00787797"/>
    <w:rsid w:val="00787DFE"/>
    <w:rsid w:val="00787E16"/>
    <w:rsid w:val="007927C4"/>
    <w:rsid w:val="007A0893"/>
    <w:rsid w:val="007A3A56"/>
    <w:rsid w:val="007A3BD5"/>
    <w:rsid w:val="007B57E1"/>
    <w:rsid w:val="007C3089"/>
    <w:rsid w:val="007C6C80"/>
    <w:rsid w:val="007D4F10"/>
    <w:rsid w:val="007D7AE2"/>
    <w:rsid w:val="007E196F"/>
    <w:rsid w:val="007E428D"/>
    <w:rsid w:val="007E4D7E"/>
    <w:rsid w:val="007F04F0"/>
    <w:rsid w:val="007F3365"/>
    <w:rsid w:val="007F7B91"/>
    <w:rsid w:val="008009C2"/>
    <w:rsid w:val="00802263"/>
    <w:rsid w:val="0080351C"/>
    <w:rsid w:val="00804C81"/>
    <w:rsid w:val="00805A57"/>
    <w:rsid w:val="00810592"/>
    <w:rsid w:val="00813ED2"/>
    <w:rsid w:val="008223BC"/>
    <w:rsid w:val="00822954"/>
    <w:rsid w:val="00824026"/>
    <w:rsid w:val="00840582"/>
    <w:rsid w:val="008440DC"/>
    <w:rsid w:val="00844731"/>
    <w:rsid w:val="00845DC2"/>
    <w:rsid w:val="008559D7"/>
    <w:rsid w:val="00855D77"/>
    <w:rsid w:val="00857E30"/>
    <w:rsid w:val="008610BA"/>
    <w:rsid w:val="00861A1B"/>
    <w:rsid w:val="008641BC"/>
    <w:rsid w:val="00871464"/>
    <w:rsid w:val="008724F3"/>
    <w:rsid w:val="008754E8"/>
    <w:rsid w:val="00876803"/>
    <w:rsid w:val="00877011"/>
    <w:rsid w:val="0088161B"/>
    <w:rsid w:val="00881E60"/>
    <w:rsid w:val="008A6241"/>
    <w:rsid w:val="008B309B"/>
    <w:rsid w:val="008B381A"/>
    <w:rsid w:val="008B5E50"/>
    <w:rsid w:val="008B6F03"/>
    <w:rsid w:val="008B71A7"/>
    <w:rsid w:val="008B741D"/>
    <w:rsid w:val="008C1214"/>
    <w:rsid w:val="008C2DD4"/>
    <w:rsid w:val="008C3046"/>
    <w:rsid w:val="008C305F"/>
    <w:rsid w:val="008C764C"/>
    <w:rsid w:val="008D3FC8"/>
    <w:rsid w:val="008E3ACB"/>
    <w:rsid w:val="008E6214"/>
    <w:rsid w:val="008F0F82"/>
    <w:rsid w:val="008F5E7E"/>
    <w:rsid w:val="00901FE0"/>
    <w:rsid w:val="0091133F"/>
    <w:rsid w:val="00911F18"/>
    <w:rsid w:val="00913A6B"/>
    <w:rsid w:val="00914917"/>
    <w:rsid w:val="009170A9"/>
    <w:rsid w:val="00920370"/>
    <w:rsid w:val="0092442E"/>
    <w:rsid w:val="00924DD1"/>
    <w:rsid w:val="00930E28"/>
    <w:rsid w:val="00932332"/>
    <w:rsid w:val="00932A75"/>
    <w:rsid w:val="00934224"/>
    <w:rsid w:val="009508F8"/>
    <w:rsid w:val="00964B45"/>
    <w:rsid w:val="00966D42"/>
    <w:rsid w:val="00967257"/>
    <w:rsid w:val="00967F33"/>
    <w:rsid w:val="00972320"/>
    <w:rsid w:val="00974A16"/>
    <w:rsid w:val="00976067"/>
    <w:rsid w:val="00976F34"/>
    <w:rsid w:val="0098089E"/>
    <w:rsid w:val="00981A35"/>
    <w:rsid w:val="00983F7F"/>
    <w:rsid w:val="0098422D"/>
    <w:rsid w:val="00984FD6"/>
    <w:rsid w:val="009904A9"/>
    <w:rsid w:val="00995778"/>
    <w:rsid w:val="009A24A6"/>
    <w:rsid w:val="009B2E05"/>
    <w:rsid w:val="009B4DA7"/>
    <w:rsid w:val="009B569B"/>
    <w:rsid w:val="009C3888"/>
    <w:rsid w:val="009C3AC8"/>
    <w:rsid w:val="009C3D63"/>
    <w:rsid w:val="009C4CB4"/>
    <w:rsid w:val="009C5EAA"/>
    <w:rsid w:val="009C764A"/>
    <w:rsid w:val="009C7918"/>
    <w:rsid w:val="009D0CC2"/>
    <w:rsid w:val="009D30EB"/>
    <w:rsid w:val="009D69A7"/>
    <w:rsid w:val="009D7F87"/>
    <w:rsid w:val="009E1A27"/>
    <w:rsid w:val="009E268E"/>
    <w:rsid w:val="009E29F7"/>
    <w:rsid w:val="009E54C5"/>
    <w:rsid w:val="009E6B7A"/>
    <w:rsid w:val="009E6C14"/>
    <w:rsid w:val="009F3232"/>
    <w:rsid w:val="009F4C48"/>
    <w:rsid w:val="009F5A9F"/>
    <w:rsid w:val="009F6421"/>
    <w:rsid w:val="00A02C5B"/>
    <w:rsid w:val="00A0404E"/>
    <w:rsid w:val="00A07D1F"/>
    <w:rsid w:val="00A11DB6"/>
    <w:rsid w:val="00A1359C"/>
    <w:rsid w:val="00A24A4E"/>
    <w:rsid w:val="00A25FB7"/>
    <w:rsid w:val="00A273CE"/>
    <w:rsid w:val="00A30E76"/>
    <w:rsid w:val="00A323FE"/>
    <w:rsid w:val="00A34682"/>
    <w:rsid w:val="00A372AB"/>
    <w:rsid w:val="00A45AB2"/>
    <w:rsid w:val="00A52993"/>
    <w:rsid w:val="00A54374"/>
    <w:rsid w:val="00A54A4C"/>
    <w:rsid w:val="00A55392"/>
    <w:rsid w:val="00A571D2"/>
    <w:rsid w:val="00A64E11"/>
    <w:rsid w:val="00A7463E"/>
    <w:rsid w:val="00A74929"/>
    <w:rsid w:val="00A75577"/>
    <w:rsid w:val="00A77063"/>
    <w:rsid w:val="00A7733A"/>
    <w:rsid w:val="00A85890"/>
    <w:rsid w:val="00AA0003"/>
    <w:rsid w:val="00AB1804"/>
    <w:rsid w:val="00AB58B7"/>
    <w:rsid w:val="00AB606B"/>
    <w:rsid w:val="00AB60F9"/>
    <w:rsid w:val="00AB7229"/>
    <w:rsid w:val="00AC2D66"/>
    <w:rsid w:val="00AD214F"/>
    <w:rsid w:val="00AD2E22"/>
    <w:rsid w:val="00AD476D"/>
    <w:rsid w:val="00AD5A5B"/>
    <w:rsid w:val="00AE2795"/>
    <w:rsid w:val="00AE3723"/>
    <w:rsid w:val="00AE45CB"/>
    <w:rsid w:val="00AE5EEE"/>
    <w:rsid w:val="00AF0F4C"/>
    <w:rsid w:val="00AF1B85"/>
    <w:rsid w:val="00AF206E"/>
    <w:rsid w:val="00AF5449"/>
    <w:rsid w:val="00B02480"/>
    <w:rsid w:val="00B03B2E"/>
    <w:rsid w:val="00B04359"/>
    <w:rsid w:val="00B12B97"/>
    <w:rsid w:val="00B1311B"/>
    <w:rsid w:val="00B13FF3"/>
    <w:rsid w:val="00B170F8"/>
    <w:rsid w:val="00B236E4"/>
    <w:rsid w:val="00B24FE6"/>
    <w:rsid w:val="00B310FA"/>
    <w:rsid w:val="00B40A60"/>
    <w:rsid w:val="00B43909"/>
    <w:rsid w:val="00B4440A"/>
    <w:rsid w:val="00B47772"/>
    <w:rsid w:val="00B50314"/>
    <w:rsid w:val="00B54AD3"/>
    <w:rsid w:val="00B55DE5"/>
    <w:rsid w:val="00B57B27"/>
    <w:rsid w:val="00B6338B"/>
    <w:rsid w:val="00B6656C"/>
    <w:rsid w:val="00B70AE5"/>
    <w:rsid w:val="00B7172D"/>
    <w:rsid w:val="00B73C1D"/>
    <w:rsid w:val="00B83B8C"/>
    <w:rsid w:val="00B8461F"/>
    <w:rsid w:val="00B848EC"/>
    <w:rsid w:val="00B84D96"/>
    <w:rsid w:val="00B84E4E"/>
    <w:rsid w:val="00B85881"/>
    <w:rsid w:val="00B86028"/>
    <w:rsid w:val="00B911C3"/>
    <w:rsid w:val="00B977D1"/>
    <w:rsid w:val="00BA113F"/>
    <w:rsid w:val="00BA1721"/>
    <w:rsid w:val="00BA382E"/>
    <w:rsid w:val="00BA51C5"/>
    <w:rsid w:val="00BA691F"/>
    <w:rsid w:val="00BB1B38"/>
    <w:rsid w:val="00BB2626"/>
    <w:rsid w:val="00BB561B"/>
    <w:rsid w:val="00BB76D5"/>
    <w:rsid w:val="00BC1E14"/>
    <w:rsid w:val="00BC5226"/>
    <w:rsid w:val="00BC5F6A"/>
    <w:rsid w:val="00BC7145"/>
    <w:rsid w:val="00BD270F"/>
    <w:rsid w:val="00BD395A"/>
    <w:rsid w:val="00BD3FC5"/>
    <w:rsid w:val="00BD7B47"/>
    <w:rsid w:val="00BE3D64"/>
    <w:rsid w:val="00BE4893"/>
    <w:rsid w:val="00BF044B"/>
    <w:rsid w:val="00BF2EDD"/>
    <w:rsid w:val="00BF70F7"/>
    <w:rsid w:val="00C1017E"/>
    <w:rsid w:val="00C139C5"/>
    <w:rsid w:val="00C15251"/>
    <w:rsid w:val="00C16B40"/>
    <w:rsid w:val="00C208D5"/>
    <w:rsid w:val="00C2419D"/>
    <w:rsid w:val="00C24937"/>
    <w:rsid w:val="00C26C7F"/>
    <w:rsid w:val="00C35ED8"/>
    <w:rsid w:val="00C4479B"/>
    <w:rsid w:val="00C46944"/>
    <w:rsid w:val="00C474B0"/>
    <w:rsid w:val="00C5113A"/>
    <w:rsid w:val="00C53180"/>
    <w:rsid w:val="00C53827"/>
    <w:rsid w:val="00C54878"/>
    <w:rsid w:val="00C5517A"/>
    <w:rsid w:val="00C565A6"/>
    <w:rsid w:val="00C56883"/>
    <w:rsid w:val="00C57F06"/>
    <w:rsid w:val="00C656DE"/>
    <w:rsid w:val="00C6786C"/>
    <w:rsid w:val="00C67C78"/>
    <w:rsid w:val="00C709F6"/>
    <w:rsid w:val="00C87FFB"/>
    <w:rsid w:val="00C90D54"/>
    <w:rsid w:val="00C91062"/>
    <w:rsid w:val="00C91C14"/>
    <w:rsid w:val="00C94590"/>
    <w:rsid w:val="00CA3630"/>
    <w:rsid w:val="00CA6968"/>
    <w:rsid w:val="00CB084E"/>
    <w:rsid w:val="00CB341D"/>
    <w:rsid w:val="00CB7891"/>
    <w:rsid w:val="00CC0DBE"/>
    <w:rsid w:val="00CC2B17"/>
    <w:rsid w:val="00CD2EF4"/>
    <w:rsid w:val="00CD5234"/>
    <w:rsid w:val="00CD64C0"/>
    <w:rsid w:val="00CE0056"/>
    <w:rsid w:val="00CE237B"/>
    <w:rsid w:val="00CF0278"/>
    <w:rsid w:val="00CF1518"/>
    <w:rsid w:val="00CF23A6"/>
    <w:rsid w:val="00CF3FB9"/>
    <w:rsid w:val="00CF6860"/>
    <w:rsid w:val="00CF6B0A"/>
    <w:rsid w:val="00CF7C86"/>
    <w:rsid w:val="00D04605"/>
    <w:rsid w:val="00D06E48"/>
    <w:rsid w:val="00D10F63"/>
    <w:rsid w:val="00D11AC0"/>
    <w:rsid w:val="00D12678"/>
    <w:rsid w:val="00D1459C"/>
    <w:rsid w:val="00D155D7"/>
    <w:rsid w:val="00D20022"/>
    <w:rsid w:val="00D20F80"/>
    <w:rsid w:val="00D210F2"/>
    <w:rsid w:val="00D212D5"/>
    <w:rsid w:val="00D23173"/>
    <w:rsid w:val="00D271EF"/>
    <w:rsid w:val="00D306E5"/>
    <w:rsid w:val="00D36795"/>
    <w:rsid w:val="00D37154"/>
    <w:rsid w:val="00D47F24"/>
    <w:rsid w:val="00D51A3D"/>
    <w:rsid w:val="00D51D04"/>
    <w:rsid w:val="00D531B2"/>
    <w:rsid w:val="00D54BA5"/>
    <w:rsid w:val="00D57A5C"/>
    <w:rsid w:val="00D604F5"/>
    <w:rsid w:val="00D62E8E"/>
    <w:rsid w:val="00D6752A"/>
    <w:rsid w:val="00D70821"/>
    <w:rsid w:val="00D73A1A"/>
    <w:rsid w:val="00D751FA"/>
    <w:rsid w:val="00D755B5"/>
    <w:rsid w:val="00D76719"/>
    <w:rsid w:val="00D76C36"/>
    <w:rsid w:val="00D80D2C"/>
    <w:rsid w:val="00D81BF5"/>
    <w:rsid w:val="00D825AE"/>
    <w:rsid w:val="00D82B79"/>
    <w:rsid w:val="00D84E84"/>
    <w:rsid w:val="00D90674"/>
    <w:rsid w:val="00D91541"/>
    <w:rsid w:val="00D92F71"/>
    <w:rsid w:val="00D93208"/>
    <w:rsid w:val="00D95B77"/>
    <w:rsid w:val="00DA2065"/>
    <w:rsid w:val="00DA2192"/>
    <w:rsid w:val="00DC1E6D"/>
    <w:rsid w:val="00DD04F5"/>
    <w:rsid w:val="00DD1B81"/>
    <w:rsid w:val="00DD3A08"/>
    <w:rsid w:val="00DD3B68"/>
    <w:rsid w:val="00DD4925"/>
    <w:rsid w:val="00DE2F8A"/>
    <w:rsid w:val="00DE43CF"/>
    <w:rsid w:val="00DE4FEE"/>
    <w:rsid w:val="00DE5955"/>
    <w:rsid w:val="00DF1549"/>
    <w:rsid w:val="00DF1991"/>
    <w:rsid w:val="00DF310F"/>
    <w:rsid w:val="00DF523A"/>
    <w:rsid w:val="00DF58DA"/>
    <w:rsid w:val="00E041AC"/>
    <w:rsid w:val="00E044C4"/>
    <w:rsid w:val="00E118CC"/>
    <w:rsid w:val="00E11E09"/>
    <w:rsid w:val="00E15066"/>
    <w:rsid w:val="00E16A29"/>
    <w:rsid w:val="00E23B6D"/>
    <w:rsid w:val="00E31514"/>
    <w:rsid w:val="00E35B5E"/>
    <w:rsid w:val="00E379FE"/>
    <w:rsid w:val="00E44537"/>
    <w:rsid w:val="00E4510B"/>
    <w:rsid w:val="00E47B99"/>
    <w:rsid w:val="00E528B2"/>
    <w:rsid w:val="00E52CD2"/>
    <w:rsid w:val="00E5334B"/>
    <w:rsid w:val="00E5524C"/>
    <w:rsid w:val="00E66101"/>
    <w:rsid w:val="00E6653B"/>
    <w:rsid w:val="00E717AE"/>
    <w:rsid w:val="00E72959"/>
    <w:rsid w:val="00E74A7B"/>
    <w:rsid w:val="00E854DC"/>
    <w:rsid w:val="00E94070"/>
    <w:rsid w:val="00E94D48"/>
    <w:rsid w:val="00E96AFA"/>
    <w:rsid w:val="00E96F26"/>
    <w:rsid w:val="00EB1DA7"/>
    <w:rsid w:val="00EB21D1"/>
    <w:rsid w:val="00EB388F"/>
    <w:rsid w:val="00EB4BAC"/>
    <w:rsid w:val="00EC398F"/>
    <w:rsid w:val="00ED17E6"/>
    <w:rsid w:val="00ED1D6F"/>
    <w:rsid w:val="00ED42E3"/>
    <w:rsid w:val="00ED5FE1"/>
    <w:rsid w:val="00ED7E1C"/>
    <w:rsid w:val="00EE7DAC"/>
    <w:rsid w:val="00EF6484"/>
    <w:rsid w:val="00EF64F1"/>
    <w:rsid w:val="00F11CC7"/>
    <w:rsid w:val="00F15FE0"/>
    <w:rsid w:val="00F16BEE"/>
    <w:rsid w:val="00F23142"/>
    <w:rsid w:val="00F35AB4"/>
    <w:rsid w:val="00F375B4"/>
    <w:rsid w:val="00F3760E"/>
    <w:rsid w:val="00F44CD4"/>
    <w:rsid w:val="00F45674"/>
    <w:rsid w:val="00F52E83"/>
    <w:rsid w:val="00F5786D"/>
    <w:rsid w:val="00F57DB3"/>
    <w:rsid w:val="00F66A87"/>
    <w:rsid w:val="00F67042"/>
    <w:rsid w:val="00F84452"/>
    <w:rsid w:val="00F84D1E"/>
    <w:rsid w:val="00F905F0"/>
    <w:rsid w:val="00F91839"/>
    <w:rsid w:val="00F92E60"/>
    <w:rsid w:val="00FA3F26"/>
    <w:rsid w:val="00FB27CF"/>
    <w:rsid w:val="00FB2DD6"/>
    <w:rsid w:val="00FB3307"/>
    <w:rsid w:val="00FC1387"/>
    <w:rsid w:val="00FC1792"/>
    <w:rsid w:val="00FC30A2"/>
    <w:rsid w:val="00FC4633"/>
    <w:rsid w:val="00FC4E43"/>
    <w:rsid w:val="00FC6296"/>
    <w:rsid w:val="00FC687B"/>
    <w:rsid w:val="00FD2676"/>
    <w:rsid w:val="00FD2BE6"/>
    <w:rsid w:val="00FD3A1E"/>
    <w:rsid w:val="00FD5731"/>
    <w:rsid w:val="00FD5CF9"/>
    <w:rsid w:val="00FD7A33"/>
    <w:rsid w:val="00FE2260"/>
    <w:rsid w:val="00FE2B13"/>
    <w:rsid w:val="00FE52A1"/>
    <w:rsid w:val="00FE5C9C"/>
    <w:rsid w:val="04621F3C"/>
    <w:rsid w:val="052319DC"/>
    <w:rsid w:val="066E5527"/>
    <w:rsid w:val="091E1B3E"/>
    <w:rsid w:val="09250D48"/>
    <w:rsid w:val="0A505E36"/>
    <w:rsid w:val="0ADF6BE9"/>
    <w:rsid w:val="0B354AFA"/>
    <w:rsid w:val="0DD21C16"/>
    <w:rsid w:val="13094504"/>
    <w:rsid w:val="141B102A"/>
    <w:rsid w:val="147977E6"/>
    <w:rsid w:val="16265B38"/>
    <w:rsid w:val="192E2F7A"/>
    <w:rsid w:val="1A720162"/>
    <w:rsid w:val="1AF53B74"/>
    <w:rsid w:val="1D1E3398"/>
    <w:rsid w:val="20A3785F"/>
    <w:rsid w:val="20CA4867"/>
    <w:rsid w:val="2218318B"/>
    <w:rsid w:val="25457B41"/>
    <w:rsid w:val="25F93599"/>
    <w:rsid w:val="2C8E1978"/>
    <w:rsid w:val="2FC41D49"/>
    <w:rsid w:val="312F77AD"/>
    <w:rsid w:val="3369596F"/>
    <w:rsid w:val="348B1BD1"/>
    <w:rsid w:val="37933F4B"/>
    <w:rsid w:val="383C6B78"/>
    <w:rsid w:val="394A67F6"/>
    <w:rsid w:val="3B1E5852"/>
    <w:rsid w:val="3BAA2738"/>
    <w:rsid w:val="3CD20A83"/>
    <w:rsid w:val="3E3B5CFE"/>
    <w:rsid w:val="456B43C1"/>
    <w:rsid w:val="488F5AA2"/>
    <w:rsid w:val="4BF70743"/>
    <w:rsid w:val="4BFE6B47"/>
    <w:rsid w:val="4C4F5980"/>
    <w:rsid w:val="50DB78E8"/>
    <w:rsid w:val="52347F6C"/>
    <w:rsid w:val="54202128"/>
    <w:rsid w:val="54D43963"/>
    <w:rsid w:val="56935B78"/>
    <w:rsid w:val="589D5B99"/>
    <w:rsid w:val="58E44260"/>
    <w:rsid w:val="59DE03FB"/>
    <w:rsid w:val="5D060EE1"/>
    <w:rsid w:val="5EA22038"/>
    <w:rsid w:val="651B3CF8"/>
    <w:rsid w:val="678F00E4"/>
    <w:rsid w:val="688124D9"/>
    <w:rsid w:val="69481030"/>
    <w:rsid w:val="6B931FF7"/>
    <w:rsid w:val="6F5900FF"/>
    <w:rsid w:val="72747931"/>
    <w:rsid w:val="73992557"/>
    <w:rsid w:val="739E1612"/>
    <w:rsid w:val="73CA0C10"/>
    <w:rsid w:val="752946FC"/>
    <w:rsid w:val="79893A44"/>
    <w:rsid w:val="7E53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qFormat="1"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0"/>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11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15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85"/>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14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129"/>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65"/>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145"/>
    <w:qFormat/>
    <w:uiPriority w:val="0"/>
    <w:pPr>
      <w:keepNext/>
      <w:keepLines/>
      <w:numPr>
        <w:ilvl w:val="8"/>
        <w:numId w:val="1"/>
      </w:numPr>
      <w:spacing w:before="240" w:after="64" w:line="320" w:lineRule="auto"/>
      <w:outlineLvl w:val="8"/>
    </w:pPr>
    <w:rPr>
      <w:rFonts w:ascii="Cambria" w:hAnsi="Cambria"/>
      <w:szCs w:val="21"/>
    </w:rPr>
  </w:style>
  <w:style w:type="character" w:default="1" w:styleId="46">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900"/>
      </w:tabs>
      <w:ind w:firstLine="420" w:firstLineChars="200"/>
    </w:pPr>
  </w:style>
  <w:style w:type="paragraph" w:styleId="3">
    <w:name w:val="Body Text Indent"/>
    <w:basedOn w:val="1"/>
    <w:link w:val="125"/>
    <w:qFormat/>
    <w:uiPriority w:val="0"/>
    <w:pPr>
      <w:spacing w:after="120"/>
      <w:ind w:left="420" w:leftChars="200"/>
    </w:p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136"/>
    <w:qFormat/>
    <w:uiPriority w:val="0"/>
    <w:rPr>
      <w:rFonts w:ascii="宋体"/>
      <w:sz w:val="18"/>
      <w:szCs w:val="18"/>
    </w:rPr>
  </w:style>
  <w:style w:type="paragraph" w:styleId="18">
    <w:name w:val="annotation text"/>
    <w:basedOn w:val="1"/>
    <w:link w:val="157"/>
    <w:qFormat/>
    <w:uiPriority w:val="99"/>
    <w:pPr>
      <w:jc w:val="left"/>
    </w:pPr>
  </w:style>
  <w:style w:type="paragraph" w:styleId="19">
    <w:name w:val="Body Text 3"/>
    <w:basedOn w:val="1"/>
    <w:link w:val="175"/>
    <w:qFormat/>
    <w:uiPriority w:val="0"/>
    <w:rPr>
      <w:rFonts w:ascii="宋体"/>
      <w:sz w:val="24"/>
      <w:szCs w:val="20"/>
    </w:rPr>
  </w:style>
  <w:style w:type="paragraph" w:styleId="20">
    <w:name w:val="Body Text"/>
    <w:basedOn w:val="1"/>
    <w:next w:val="21"/>
    <w:link w:val="164"/>
    <w:qFormat/>
    <w:uiPriority w:val="0"/>
    <w:pPr>
      <w:jc w:val="center"/>
    </w:pPr>
    <w:rPr>
      <w:rFonts w:eastAsia="幼圆"/>
      <w:b/>
      <w:bCs/>
      <w:sz w:val="44"/>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index 4"/>
    <w:basedOn w:val="1"/>
    <w:next w:val="1"/>
    <w:qFormat/>
    <w:uiPriority w:val="0"/>
    <w:pPr>
      <w:ind w:left="600" w:leftChars="600"/>
    </w:pPr>
    <w:rPr>
      <w:rFonts w:ascii="Calibri" w:hAnsi="Calibri"/>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link w:val="130"/>
    <w:qFormat/>
    <w:uiPriority w:val="0"/>
    <w:rPr>
      <w:rFonts w:ascii="Ari"/>
      <w:kern w:val="0"/>
      <w:sz w:val="20"/>
      <w:szCs w:val="20"/>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137"/>
    <w:unhideWhenUsed/>
    <w:qFormat/>
    <w:uiPriority w:val="0"/>
  </w:style>
  <w:style w:type="paragraph" w:styleId="28">
    <w:name w:val="Body Text Indent 2"/>
    <w:basedOn w:val="1"/>
    <w:link w:val="156"/>
    <w:unhideWhenUsed/>
    <w:qFormat/>
    <w:uiPriority w:val="99"/>
    <w:pPr>
      <w:spacing w:line="420" w:lineRule="exact"/>
      <w:ind w:firstLine="525"/>
    </w:pPr>
    <w:rPr>
      <w:rFonts w:ascii="宋体"/>
      <w:kern w:val="0"/>
      <w:sz w:val="20"/>
      <w:szCs w:val="20"/>
    </w:rPr>
  </w:style>
  <w:style w:type="paragraph" w:styleId="29">
    <w:name w:val="Balloon Text"/>
    <w:basedOn w:val="1"/>
    <w:link w:val="178"/>
    <w:qFormat/>
    <w:uiPriority w:val="0"/>
    <w:rPr>
      <w:sz w:val="18"/>
      <w:szCs w:val="18"/>
    </w:rPr>
  </w:style>
  <w:style w:type="paragraph" w:styleId="30">
    <w:name w:val="footer"/>
    <w:basedOn w:val="1"/>
    <w:link w:val="169"/>
    <w:qFormat/>
    <w:uiPriority w:val="99"/>
    <w:pPr>
      <w:tabs>
        <w:tab w:val="center" w:pos="4153"/>
        <w:tab w:val="right" w:pos="8306"/>
      </w:tabs>
      <w:snapToGrid w:val="0"/>
      <w:jc w:val="left"/>
    </w:pPr>
    <w:rPr>
      <w:sz w:val="18"/>
      <w:szCs w:val="18"/>
    </w:rPr>
  </w:style>
  <w:style w:type="paragraph" w:styleId="31">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176"/>
    <w:qFormat/>
    <w:uiPriority w:val="0"/>
    <w:pPr>
      <w:spacing w:after="120"/>
      <w:ind w:left="420" w:leftChars="200"/>
    </w:pPr>
    <w:rPr>
      <w:sz w:val="16"/>
      <w:szCs w:val="20"/>
    </w:rPr>
  </w:style>
  <w:style w:type="paragraph" w:styleId="37">
    <w:name w:val="toc 2"/>
    <w:basedOn w:val="1"/>
    <w:next w:val="1"/>
    <w:qFormat/>
    <w:uiPriority w:val="39"/>
    <w:pPr>
      <w:ind w:left="420" w:leftChars="200"/>
    </w:pPr>
    <w:rPr>
      <w:rFonts w:ascii="Calibri" w:hAnsi="Calibri"/>
      <w:szCs w:val="22"/>
    </w:rPr>
  </w:style>
  <w:style w:type="paragraph" w:styleId="38">
    <w:name w:val="toc 9"/>
    <w:basedOn w:val="1"/>
    <w:next w:val="1"/>
    <w:unhideWhenUsed/>
    <w:qFormat/>
    <w:uiPriority w:val="39"/>
    <w:pPr>
      <w:ind w:left="3360" w:leftChars="1600"/>
    </w:pPr>
    <w:rPr>
      <w:rFonts w:ascii="Calibri" w:hAnsi="Calibri"/>
      <w:szCs w:val="22"/>
    </w:rPr>
  </w:style>
  <w:style w:type="paragraph" w:styleId="3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line="220" w:lineRule="exact"/>
      <w:jc w:val="center"/>
    </w:pPr>
    <w:rPr>
      <w:rFonts w:ascii="仿宋_GB2312" w:hAnsi="Calibri" w:eastAsia="仿宋_GB2312"/>
      <w:szCs w:val="22"/>
    </w:rPr>
  </w:style>
  <w:style w:type="paragraph" w:styleId="42">
    <w:name w:val="Title"/>
    <w:basedOn w:val="1"/>
    <w:link w:val="13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8"/>
    <w:next w:val="18"/>
    <w:link w:val="167"/>
    <w:qFormat/>
    <w:uiPriority w:val="0"/>
    <w:rPr>
      <w:b/>
      <w:bCs/>
    </w:rPr>
  </w:style>
  <w:style w:type="paragraph" w:styleId="44">
    <w:name w:val="Body Text First Indent"/>
    <w:basedOn w:val="20"/>
    <w:link w:val="189"/>
    <w:semiHidden/>
    <w:unhideWhenUsed/>
    <w:qFormat/>
    <w:uiPriority w:val="0"/>
    <w:pPr>
      <w:spacing w:after="120"/>
      <w:ind w:firstLine="420" w:firstLineChars="100"/>
      <w:jc w:val="both"/>
    </w:pPr>
    <w:rPr>
      <w:rFonts w:eastAsia="宋体"/>
      <w:b w:val="0"/>
      <w:bCs w:val="0"/>
      <w:sz w:val="21"/>
    </w:rPr>
  </w:style>
  <w:style w:type="character" w:styleId="47">
    <w:name w:val="Strong"/>
    <w:qFormat/>
    <w:uiPriority w:val="0"/>
    <w:rPr>
      <w:rFonts w:cs="Times New Roman"/>
      <w:b/>
    </w:rPr>
  </w:style>
  <w:style w:type="character" w:styleId="48">
    <w:name w:val="page number"/>
    <w:qFormat/>
    <w:uiPriority w:val="0"/>
    <w:rPr>
      <w:rFonts w:eastAsia="宋体"/>
      <w:b/>
      <w:spacing w:val="0"/>
      <w:kern w:val="2"/>
      <w:sz w:val="24"/>
      <w:szCs w:val="24"/>
      <w:lang w:val="en-US" w:eastAsia="zh-CN" w:bidi="ar-SA"/>
    </w:rPr>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color w:val="008000"/>
    </w:rPr>
  </w:style>
  <w:style w:type="paragraph" w:customStyle="1" w:styleId="54">
    <w:name w:val="列出段落1"/>
    <w:basedOn w:val="1"/>
    <w:qFormat/>
    <w:uiPriority w:val="0"/>
    <w:pPr>
      <w:ind w:firstLine="420" w:firstLineChars="200"/>
    </w:pPr>
  </w:style>
  <w:style w:type="paragraph" w:customStyle="1" w:styleId="55">
    <w:name w:val="标题 3_0"/>
    <w:basedOn w:val="56"/>
    <w:next w:val="56"/>
    <w:link w:val="116"/>
    <w:qFormat/>
    <w:uiPriority w:val="0"/>
    <w:pPr>
      <w:keepNext/>
      <w:keepLines/>
      <w:spacing w:before="260" w:after="260" w:line="416" w:lineRule="auto"/>
      <w:outlineLvl w:val="2"/>
    </w:pPr>
    <w:rPr>
      <w:b/>
      <w:bCs/>
      <w:kern w:val="0"/>
      <w:sz w:val="32"/>
      <w:szCs w:val="32"/>
    </w:rPr>
  </w:style>
  <w:style w:type="paragraph" w:customStyle="1" w:styleId="5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引用1"/>
    <w:basedOn w:val="1"/>
    <w:next w:val="1"/>
    <w:link w:val="121"/>
    <w:qFormat/>
    <w:uiPriority w:val="0"/>
    <w:rPr>
      <w:i/>
      <w:iCs/>
      <w:color w:val="000000"/>
      <w:kern w:val="0"/>
      <w:sz w:val="20"/>
      <w:szCs w:val="20"/>
    </w:rPr>
  </w:style>
  <w:style w:type="paragraph" w:customStyle="1" w:styleId="58">
    <w:name w:val="标题 1_0"/>
    <w:basedOn w:val="56"/>
    <w:next w:val="56"/>
    <w:link w:val="122"/>
    <w:qFormat/>
    <w:uiPriority w:val="0"/>
    <w:pPr>
      <w:keepNext/>
      <w:keepLines/>
      <w:spacing w:before="340" w:after="330" w:line="578" w:lineRule="auto"/>
      <w:outlineLvl w:val="0"/>
    </w:pPr>
    <w:rPr>
      <w:b/>
      <w:bCs/>
      <w:kern w:val="44"/>
      <w:sz w:val="44"/>
      <w:szCs w:val="44"/>
    </w:rPr>
  </w:style>
  <w:style w:type="paragraph" w:customStyle="1" w:styleId="59">
    <w:name w:val="标题 4_0"/>
    <w:basedOn w:val="56"/>
    <w:next w:val="56"/>
    <w:link w:val="127"/>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60">
    <w:name w:val="标题5"/>
    <w:basedOn w:val="6"/>
    <w:link w:val="134"/>
    <w:qFormat/>
    <w:uiPriority w:val="0"/>
    <w:pPr>
      <w:numPr>
        <w:numId w:val="0"/>
      </w:numPr>
      <w:spacing w:line="413" w:lineRule="auto"/>
    </w:pPr>
    <w:rPr>
      <w:rFonts w:ascii="Arial" w:hAnsi="Arial"/>
      <w:kern w:val="0"/>
      <w:sz w:val="24"/>
    </w:rPr>
  </w:style>
  <w:style w:type="paragraph" w:customStyle="1" w:styleId="61">
    <w:name w:val="明显引用1"/>
    <w:basedOn w:val="1"/>
    <w:next w:val="1"/>
    <w:link w:val="140"/>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62">
    <w:name w:val="正文文本_0"/>
    <w:basedOn w:val="56"/>
    <w:link w:val="152"/>
    <w:qFormat/>
    <w:uiPriority w:val="0"/>
    <w:pPr>
      <w:spacing w:after="120"/>
    </w:pPr>
    <w:rPr>
      <w:kern w:val="0"/>
      <w:sz w:val="20"/>
    </w:rPr>
  </w:style>
  <w:style w:type="paragraph" w:customStyle="1" w:styleId="63">
    <w:name w:val="标题 5_0"/>
    <w:basedOn w:val="56"/>
    <w:next w:val="56"/>
    <w:link w:val="155"/>
    <w:qFormat/>
    <w:uiPriority w:val="0"/>
    <w:pPr>
      <w:keepNext/>
      <w:keepLines/>
      <w:spacing w:before="280" w:after="290" w:line="372" w:lineRule="auto"/>
      <w:outlineLvl w:val="4"/>
    </w:pPr>
    <w:rPr>
      <w:rFonts w:ascii="Calibri" w:hAnsi="Calibri"/>
      <w:b/>
      <w:bCs/>
      <w:kern w:val="0"/>
      <w:sz w:val="28"/>
      <w:szCs w:val="28"/>
    </w:rPr>
  </w:style>
  <w:style w:type="paragraph" w:customStyle="1" w:styleId="64">
    <w:name w:val="标题4"/>
    <w:basedOn w:val="5"/>
    <w:next w:val="22"/>
    <w:link w:val="170"/>
    <w:qFormat/>
    <w:uiPriority w:val="0"/>
    <w:pPr>
      <w:numPr>
        <w:numId w:val="0"/>
      </w:numPr>
      <w:spacing w:line="413" w:lineRule="auto"/>
    </w:pPr>
    <w:rPr>
      <w:rFonts w:ascii="Arial" w:hAnsi="Arial"/>
      <w:kern w:val="0"/>
      <w:sz w:val="24"/>
    </w:rPr>
  </w:style>
  <w:style w:type="paragraph" w:customStyle="1" w:styleId="65">
    <w:name w:val="标题 2_0"/>
    <w:basedOn w:val="56"/>
    <w:next w:val="56"/>
    <w:link w:val="182"/>
    <w:unhideWhenUsed/>
    <w:qFormat/>
    <w:uiPriority w:val="0"/>
    <w:pPr>
      <w:keepNext/>
      <w:keepLines/>
      <w:spacing w:before="260" w:after="260" w:line="416" w:lineRule="auto"/>
      <w:outlineLvl w:val="1"/>
    </w:pPr>
    <w:rPr>
      <w:rFonts w:ascii="Cambria" w:hAnsi="Cambria"/>
      <w:b/>
      <w:bCs/>
      <w:kern w:val="0"/>
      <w:sz w:val="32"/>
      <w:szCs w:val="32"/>
    </w:rPr>
  </w:style>
  <w:style w:type="paragraph" w:customStyle="1" w:styleId="66">
    <w:name w:val="List Paragraph1"/>
    <w:basedOn w:val="1"/>
    <w:link w:val="186"/>
    <w:qFormat/>
    <w:uiPriority w:val="99"/>
    <w:pPr>
      <w:ind w:firstLine="420" w:firstLineChars="200"/>
    </w:pPr>
  </w:style>
  <w:style w:type="paragraph" w:customStyle="1" w:styleId="67">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68">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72">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73">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74">
    <w:name w:val="正文1"/>
    <w:qFormat/>
    <w:uiPriority w:val="0"/>
    <w:pPr>
      <w:widowControl w:val="0"/>
      <w:jc w:val="both"/>
    </w:pPr>
    <w:rPr>
      <w:rFonts w:ascii="Calibri" w:hAnsi="Calibri" w:eastAsia="宋体" w:cs="Times New Roman"/>
      <w:lang w:val="en-US" w:eastAsia="zh-CN" w:bidi="ar-SA"/>
    </w:rPr>
  </w:style>
  <w:style w:type="paragraph" w:customStyle="1" w:styleId="75">
    <w:name w:val="列出段落111"/>
    <w:basedOn w:val="1"/>
    <w:qFormat/>
    <w:uiPriority w:val="99"/>
    <w:pPr>
      <w:widowControl/>
      <w:ind w:left="720"/>
      <w:contextualSpacing/>
      <w:jc w:val="left"/>
    </w:pPr>
    <w:rPr>
      <w:rFonts w:ascii="Arial" w:hAnsi="Arial" w:eastAsia="黑体"/>
      <w:kern w:val="0"/>
      <w:sz w:val="24"/>
      <w:lang w:eastAsia="en-US"/>
    </w:rPr>
  </w:style>
  <w:style w:type="paragraph" w:customStyle="1" w:styleId="76">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7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78">
    <w:name w:val="目录 5_0"/>
    <w:basedOn w:val="56"/>
    <w:next w:val="56"/>
    <w:qFormat/>
    <w:uiPriority w:val="39"/>
    <w:pPr>
      <w:ind w:left="1680" w:leftChars="800"/>
    </w:pPr>
    <w:rPr>
      <w:rFonts w:ascii="Calibri" w:hAnsi="Calibri"/>
    </w:rPr>
  </w:style>
  <w:style w:type="paragraph" w:customStyle="1" w:styleId="79">
    <w:name w:val="修订1"/>
    <w:qFormat/>
    <w:uiPriority w:val="0"/>
    <w:rPr>
      <w:rFonts w:ascii="Times New Roman" w:hAnsi="Times New Roman" w:eastAsia="宋体" w:cs="Times New Roman"/>
      <w:kern w:val="2"/>
      <w:sz w:val="21"/>
      <w:szCs w:val="24"/>
      <w:lang w:val="en-US" w:eastAsia="zh-CN" w:bidi="ar-SA"/>
    </w:rPr>
  </w:style>
  <w:style w:type="paragraph" w:customStyle="1" w:styleId="80">
    <w:name w:val="标题 11"/>
    <w:basedOn w:val="74"/>
    <w:next w:val="74"/>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81">
    <w:name w:val="正文 + 行距: 固定值 20 磅"/>
    <w:basedOn w:val="1"/>
    <w:qFormat/>
    <w:uiPriority w:val="0"/>
    <w:pPr>
      <w:spacing w:line="400" w:lineRule="exact"/>
      <w:ind w:firstLine="716" w:firstLineChars="341"/>
    </w:pPr>
    <w:rPr>
      <w:rFonts w:ascii="Calibri" w:hAnsi="Calibri"/>
      <w:szCs w:val="22"/>
    </w:rPr>
  </w:style>
  <w:style w:type="paragraph" w:customStyle="1" w:styleId="82">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83">
    <w:name w:val="表格文字"/>
    <w:basedOn w:val="1"/>
    <w:link w:val="187"/>
    <w:qFormat/>
    <w:uiPriority w:val="0"/>
    <w:pPr>
      <w:adjustRightInd w:val="0"/>
      <w:spacing w:line="420" w:lineRule="atLeast"/>
      <w:jc w:val="left"/>
      <w:textAlignment w:val="baseline"/>
    </w:pPr>
    <w:rPr>
      <w:rFonts w:ascii="Calibri" w:hAnsi="Calibri"/>
      <w:kern w:val="0"/>
      <w:szCs w:val="22"/>
    </w:rPr>
  </w:style>
  <w:style w:type="paragraph" w:customStyle="1" w:styleId="84">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85">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86">
    <w:name w:val="表格"/>
    <w:basedOn w:val="1"/>
    <w:qFormat/>
    <w:uiPriority w:val="0"/>
    <w:pPr>
      <w:jc w:val="center"/>
      <w:textAlignment w:val="center"/>
    </w:pPr>
    <w:rPr>
      <w:rFonts w:ascii="华文细黑" w:hAnsi="华文细黑"/>
      <w:kern w:val="0"/>
      <w:szCs w:val="22"/>
    </w:rPr>
  </w:style>
  <w:style w:type="paragraph" w:customStyle="1" w:styleId="8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列出段落2"/>
    <w:basedOn w:val="1"/>
    <w:qFormat/>
    <w:uiPriority w:val="99"/>
    <w:pPr>
      <w:ind w:firstLine="420" w:firstLineChars="200"/>
    </w:p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90">
    <w:name w:val="Char Char Char Char Char Char Char"/>
    <w:basedOn w:val="1"/>
    <w:qFormat/>
    <w:uiPriority w:val="0"/>
    <w:pPr>
      <w:adjustRightInd w:val="0"/>
      <w:spacing w:line="360" w:lineRule="auto"/>
    </w:pPr>
    <w:rPr>
      <w:kern w:val="0"/>
      <w:sz w:val="24"/>
      <w:szCs w:val="20"/>
    </w:rPr>
  </w:style>
  <w:style w:type="paragraph" w:customStyle="1" w:styleId="91">
    <w:name w:val="2方案格式2"/>
    <w:basedOn w:val="72"/>
    <w:qFormat/>
    <w:uiPriority w:val="0"/>
    <w:pPr>
      <w:numPr>
        <w:ilvl w:val="1"/>
      </w:numPr>
      <w:spacing w:line="240" w:lineRule="auto"/>
      <w:outlineLvl w:val="1"/>
    </w:pPr>
    <w:rPr>
      <w:sz w:val="44"/>
    </w:rPr>
  </w:style>
  <w:style w:type="paragraph" w:customStyle="1" w:styleId="9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9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目录 4_0"/>
    <w:basedOn w:val="56"/>
    <w:next w:val="56"/>
    <w:qFormat/>
    <w:uiPriority w:val="39"/>
    <w:pPr>
      <w:ind w:left="1260" w:leftChars="600"/>
    </w:pPr>
    <w:rPr>
      <w:rFonts w:ascii="Calibri" w:hAnsi="Calibri"/>
    </w:rPr>
  </w:style>
  <w:style w:type="paragraph" w:customStyle="1" w:styleId="96">
    <w:name w:val="目录 3_0"/>
    <w:basedOn w:val="56"/>
    <w:next w:val="56"/>
    <w:qFormat/>
    <w:uiPriority w:val="39"/>
    <w:pPr>
      <w:ind w:left="840" w:leftChars="400"/>
    </w:pPr>
    <w:rPr>
      <w:rFonts w:ascii="Calibri" w:hAnsi="Calibri"/>
    </w:rPr>
  </w:style>
  <w:style w:type="paragraph" w:customStyle="1" w:styleId="97">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98">
    <w:name w:val="1"/>
    <w:basedOn w:val="1"/>
    <w:next w:val="1"/>
    <w:qFormat/>
    <w:uiPriority w:val="0"/>
    <w:rPr>
      <w:rFonts w:ascii="Calibri" w:hAnsi="Calibri"/>
      <w:szCs w:val="22"/>
    </w:rPr>
  </w:style>
  <w:style w:type="paragraph" w:customStyle="1" w:styleId="99">
    <w:name w:val="Blockquote_0"/>
    <w:basedOn w:val="56"/>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00">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01">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02">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p0"/>
    <w:basedOn w:val="1"/>
    <w:qFormat/>
    <w:uiPriority w:val="0"/>
    <w:pPr>
      <w:widowControl/>
    </w:pPr>
    <w:rPr>
      <w:b/>
      <w:bCs/>
      <w:kern w:val="0"/>
      <w:sz w:val="24"/>
    </w:rPr>
  </w:style>
  <w:style w:type="paragraph" w:customStyle="1" w:styleId="104">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05">
    <w:name w:val="3方案格式3"/>
    <w:basedOn w:val="91"/>
    <w:qFormat/>
    <w:uiPriority w:val="0"/>
    <w:pPr>
      <w:numPr>
        <w:ilvl w:val="2"/>
      </w:numPr>
      <w:outlineLvl w:val="2"/>
    </w:pPr>
    <w:rPr>
      <w:sz w:val="32"/>
    </w:rPr>
  </w:style>
  <w:style w:type="paragraph" w:customStyle="1" w:styleId="106">
    <w:name w:val="样式 标题 2 + Times New Roman 四号 非加粗 段前: 5 磅 段后: 0 磅 行距: 固定值 20..."/>
    <w:basedOn w:val="5"/>
    <w:qFormat/>
    <w:uiPriority w:val="0"/>
    <w:pPr>
      <w:numPr>
        <w:numId w:val="0"/>
      </w:numPr>
      <w:spacing w:before="100" w:after="0" w:line="400" w:lineRule="exact"/>
    </w:pPr>
    <w:rPr>
      <w:rFonts w:ascii="Times New Roman" w:hAnsi="Times New Roman" w:eastAsia="黑体"/>
      <w:b w:val="0"/>
      <w:bCs w:val="0"/>
      <w:sz w:val="28"/>
      <w:szCs w:val="20"/>
    </w:rPr>
  </w:style>
  <w:style w:type="paragraph" w:customStyle="1" w:styleId="107">
    <w:name w:val="标题2"/>
    <w:basedOn w:val="5"/>
    <w:next w:val="20"/>
    <w:qFormat/>
    <w:uiPriority w:val="0"/>
    <w:pPr>
      <w:spacing w:before="156" w:after="156" w:line="360" w:lineRule="auto"/>
    </w:pPr>
    <w:rPr>
      <w:bCs w:val="0"/>
      <w:sz w:val="24"/>
    </w:rPr>
  </w:style>
  <w:style w:type="paragraph" w:customStyle="1" w:styleId="10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9">
    <w:name w:val="正文11"/>
    <w:qFormat/>
    <w:uiPriority w:val="0"/>
    <w:rPr>
      <w:rFonts w:ascii="Calibri" w:hAnsi="Calibri" w:eastAsia="宋体" w:cs="Calibri"/>
      <w:sz w:val="24"/>
      <w:szCs w:val="24"/>
      <w:lang w:val="en-US" w:eastAsia="zh-CN" w:bidi="ar-SA"/>
    </w:rPr>
  </w:style>
  <w:style w:type="paragraph" w:customStyle="1" w:styleId="110">
    <w:name w:val="正文2"/>
    <w:basedOn w:val="1"/>
    <w:qFormat/>
    <w:uiPriority w:val="0"/>
    <w:rPr>
      <w:rFonts w:eastAsia="微软雅黑"/>
      <w:sz w:val="24"/>
    </w:rPr>
  </w:style>
  <w:style w:type="paragraph" w:customStyle="1" w:styleId="111">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2">
    <w:name w:val="纯文本2"/>
    <w:basedOn w:val="1"/>
    <w:qFormat/>
    <w:uiPriority w:val="0"/>
    <w:pPr>
      <w:jc w:val="left"/>
    </w:pPr>
    <w:rPr>
      <w:rFonts w:hint="eastAsia" w:ascii="宋体" w:hAnsi="宋体" w:cs="Courier New"/>
      <w:kern w:val="1"/>
      <w:sz w:val="24"/>
      <w:szCs w:val="20"/>
    </w:rPr>
  </w:style>
  <w:style w:type="paragraph" w:customStyle="1" w:styleId="113">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明显强调1"/>
    <w:qFormat/>
    <w:uiPriority w:val="0"/>
    <w:rPr>
      <w:b/>
      <w:bCs/>
      <w:i/>
      <w:iCs/>
      <w:color w:val="4F81BD"/>
    </w:rPr>
  </w:style>
  <w:style w:type="character" w:customStyle="1" w:styleId="115">
    <w:name w:val="批注文字 Char2"/>
    <w:qFormat/>
    <w:uiPriority w:val="0"/>
    <w:rPr>
      <w:kern w:val="2"/>
      <w:sz w:val="21"/>
    </w:rPr>
  </w:style>
  <w:style w:type="character" w:customStyle="1" w:styleId="116">
    <w:name w:val="标题 3 Char_0"/>
    <w:link w:val="55"/>
    <w:qFormat/>
    <w:uiPriority w:val="0"/>
    <w:rPr>
      <w:b/>
      <w:bCs/>
      <w:sz w:val="32"/>
      <w:szCs w:val="32"/>
    </w:rPr>
  </w:style>
  <w:style w:type="character" w:customStyle="1" w:styleId="117">
    <w:name w:val="标题 2 Char"/>
    <w:link w:val="5"/>
    <w:qFormat/>
    <w:uiPriority w:val="0"/>
    <w:rPr>
      <w:rFonts w:ascii="Cambria" w:hAnsi="Cambria"/>
      <w:b/>
      <w:bCs/>
      <w:kern w:val="2"/>
      <w:sz w:val="32"/>
      <w:szCs w:val="32"/>
    </w:rPr>
  </w:style>
  <w:style w:type="character" w:customStyle="1" w:styleId="118">
    <w:name w:val="正文文本 Char2"/>
    <w:semiHidden/>
    <w:qFormat/>
    <w:uiPriority w:val="99"/>
    <w:rPr>
      <w:rFonts w:ascii="Calibri" w:hAnsi="Calibri" w:eastAsia="宋体" w:cs="Times New Roman"/>
    </w:rPr>
  </w:style>
  <w:style w:type="character" w:customStyle="1" w:styleId="119">
    <w:name w:val="页脚 Char1"/>
    <w:semiHidden/>
    <w:qFormat/>
    <w:uiPriority w:val="99"/>
    <w:rPr>
      <w:rFonts w:ascii="Calibri" w:hAnsi="Calibri" w:eastAsia="宋体" w:cs="Times New Roman"/>
      <w:sz w:val="18"/>
      <w:szCs w:val="18"/>
    </w:rPr>
  </w:style>
  <w:style w:type="character" w:customStyle="1" w:styleId="120">
    <w:name w:val="明显引用 Char2"/>
    <w:qFormat/>
    <w:uiPriority w:val="99"/>
    <w:rPr>
      <w:b/>
      <w:bCs/>
      <w:i/>
      <w:iCs/>
      <w:color w:val="4F81BD"/>
      <w:kern w:val="2"/>
      <w:sz w:val="21"/>
      <w:szCs w:val="24"/>
    </w:rPr>
  </w:style>
  <w:style w:type="character" w:customStyle="1" w:styleId="121">
    <w:name w:val="引用 Char"/>
    <w:link w:val="57"/>
    <w:qFormat/>
    <w:uiPriority w:val="0"/>
    <w:rPr>
      <w:i/>
      <w:iCs/>
      <w:color w:val="000000"/>
    </w:rPr>
  </w:style>
  <w:style w:type="character" w:customStyle="1" w:styleId="122">
    <w:name w:val="标题 1 Char_0"/>
    <w:link w:val="58"/>
    <w:qFormat/>
    <w:uiPriority w:val="0"/>
    <w:rPr>
      <w:b/>
      <w:bCs/>
      <w:kern w:val="44"/>
      <w:sz w:val="44"/>
      <w:szCs w:val="44"/>
    </w:rPr>
  </w:style>
  <w:style w:type="character" w:customStyle="1" w:styleId="123">
    <w:name w:val="正文文本缩进 3 Char1"/>
    <w:semiHidden/>
    <w:qFormat/>
    <w:uiPriority w:val="99"/>
    <w:rPr>
      <w:kern w:val="2"/>
      <w:sz w:val="16"/>
      <w:szCs w:val="16"/>
    </w:rPr>
  </w:style>
  <w:style w:type="character" w:customStyle="1" w:styleId="124">
    <w:name w:val="引用 Char1"/>
    <w:qFormat/>
    <w:uiPriority w:val="29"/>
    <w:rPr>
      <w:i/>
      <w:iCs/>
      <w:color w:val="000000"/>
      <w:kern w:val="2"/>
      <w:sz w:val="21"/>
    </w:rPr>
  </w:style>
  <w:style w:type="character" w:customStyle="1" w:styleId="125">
    <w:name w:val="正文文本缩进 Char"/>
    <w:link w:val="3"/>
    <w:qFormat/>
    <w:uiPriority w:val="0"/>
    <w:rPr>
      <w:kern w:val="2"/>
      <w:sz w:val="21"/>
      <w:szCs w:val="24"/>
    </w:rPr>
  </w:style>
  <w:style w:type="character" w:customStyle="1" w:styleId="126">
    <w:name w:val="font161"/>
    <w:qFormat/>
    <w:uiPriority w:val="0"/>
    <w:rPr>
      <w:b/>
      <w:sz w:val="32"/>
    </w:rPr>
  </w:style>
  <w:style w:type="character" w:customStyle="1" w:styleId="127">
    <w:name w:val="标题 4 Char_0"/>
    <w:link w:val="59"/>
    <w:qFormat/>
    <w:uiPriority w:val="0"/>
    <w:rPr>
      <w:rFonts w:ascii="Arial" w:hAnsi="Arial" w:eastAsia="黑体"/>
      <w:b/>
      <w:bCs/>
      <w:sz w:val="28"/>
      <w:szCs w:val="28"/>
    </w:rPr>
  </w:style>
  <w:style w:type="character" w:customStyle="1" w:styleId="128">
    <w:name w:val="页眉 Char"/>
    <w:link w:val="31"/>
    <w:qFormat/>
    <w:uiPriority w:val="99"/>
    <w:rPr>
      <w:kern w:val="2"/>
      <w:sz w:val="18"/>
      <w:szCs w:val="18"/>
    </w:rPr>
  </w:style>
  <w:style w:type="character" w:customStyle="1" w:styleId="129">
    <w:name w:val="标题 6 Char"/>
    <w:link w:val="9"/>
    <w:qFormat/>
    <w:uiPriority w:val="0"/>
    <w:rPr>
      <w:rFonts w:ascii="Cambria" w:hAnsi="Cambria" w:eastAsia="宋体" w:cs="Times New Roman"/>
      <w:b/>
      <w:bCs/>
      <w:kern w:val="2"/>
      <w:sz w:val="24"/>
      <w:szCs w:val="24"/>
    </w:rPr>
  </w:style>
  <w:style w:type="character" w:customStyle="1" w:styleId="130">
    <w:name w:val="纯文本 Char"/>
    <w:link w:val="25"/>
    <w:qFormat/>
    <w:uiPriority w:val="0"/>
    <w:rPr>
      <w:rFonts w:ascii="Ari"/>
      <w:lang w:val="en-US" w:eastAsia="zh-CN" w:bidi="ar-SA"/>
    </w:rPr>
  </w:style>
  <w:style w:type="character" w:customStyle="1" w:styleId="131">
    <w:name w:val="引用 Char2"/>
    <w:qFormat/>
    <w:uiPriority w:val="99"/>
    <w:rPr>
      <w:i/>
      <w:iCs/>
      <w:color w:val="000000"/>
      <w:kern w:val="2"/>
      <w:sz w:val="21"/>
      <w:szCs w:val="24"/>
    </w:rPr>
  </w:style>
  <w:style w:type="character" w:customStyle="1" w:styleId="132">
    <w:name w:val="rvts11"/>
    <w:qFormat/>
    <w:uiPriority w:val="0"/>
    <w:rPr>
      <w:rFonts w:hint="default" w:ascii="KNLe" w:hAnsi="KNLe"/>
      <w:sz w:val="24"/>
      <w:szCs w:val="24"/>
      <w:u w:val="single"/>
    </w:rPr>
  </w:style>
  <w:style w:type="character" w:customStyle="1" w:styleId="133">
    <w:name w:val="标题 Char"/>
    <w:link w:val="42"/>
    <w:qFormat/>
    <w:uiPriority w:val="0"/>
    <w:rPr>
      <w:rFonts w:ascii="Arial" w:hAnsi="Arial"/>
      <w:b/>
      <w:sz w:val="32"/>
    </w:rPr>
  </w:style>
  <w:style w:type="character" w:customStyle="1" w:styleId="134">
    <w:name w:val="标题5 Char Char"/>
    <w:link w:val="60"/>
    <w:qFormat/>
    <w:uiPriority w:val="0"/>
    <w:rPr>
      <w:rFonts w:ascii="Arial" w:hAnsi="Arial"/>
      <w:b/>
      <w:bCs/>
      <w:sz w:val="24"/>
      <w:szCs w:val="32"/>
    </w:rPr>
  </w:style>
  <w:style w:type="character" w:customStyle="1" w:styleId="135">
    <w:name w:val="副标题 Char2"/>
    <w:qFormat/>
    <w:uiPriority w:val="11"/>
    <w:rPr>
      <w:rFonts w:ascii="Cambria" w:hAnsi="Cambria" w:cs="Times New Roman"/>
      <w:b/>
      <w:bCs/>
      <w:kern w:val="28"/>
      <w:sz w:val="32"/>
      <w:szCs w:val="32"/>
    </w:rPr>
  </w:style>
  <w:style w:type="character" w:customStyle="1" w:styleId="136">
    <w:name w:val="文档结构图 Char"/>
    <w:link w:val="17"/>
    <w:qFormat/>
    <w:uiPriority w:val="0"/>
    <w:rPr>
      <w:rFonts w:ascii="宋体"/>
      <w:kern w:val="2"/>
      <w:sz w:val="18"/>
      <w:szCs w:val="18"/>
    </w:rPr>
  </w:style>
  <w:style w:type="character" w:customStyle="1" w:styleId="137">
    <w:name w:val="日期 Char"/>
    <w:link w:val="27"/>
    <w:qFormat/>
    <w:uiPriority w:val="0"/>
    <w:rPr>
      <w:kern w:val="2"/>
      <w:sz w:val="21"/>
      <w:szCs w:val="24"/>
    </w:rPr>
  </w:style>
  <w:style w:type="character" w:customStyle="1" w:styleId="138">
    <w:name w:val="批注主题 Char1"/>
    <w:qFormat/>
    <w:uiPriority w:val="0"/>
    <w:rPr>
      <w:b/>
      <w:bCs/>
      <w:kern w:val="2"/>
      <w:sz w:val="21"/>
      <w:szCs w:val="22"/>
    </w:rPr>
  </w:style>
  <w:style w:type="character" w:customStyle="1" w:styleId="139">
    <w:name w:val="font31"/>
    <w:qFormat/>
    <w:uiPriority w:val="0"/>
    <w:rPr>
      <w:rFonts w:hint="eastAsia" w:ascii="宋体" w:hAnsi="宋体" w:eastAsia="宋体" w:cs="宋体"/>
      <w:color w:val="000000"/>
      <w:sz w:val="20"/>
      <w:szCs w:val="20"/>
      <w:u w:val="none"/>
    </w:rPr>
  </w:style>
  <w:style w:type="character" w:customStyle="1" w:styleId="140">
    <w:name w:val="明显引用 Char"/>
    <w:link w:val="61"/>
    <w:qFormat/>
    <w:uiPriority w:val="0"/>
    <w:rPr>
      <w:b/>
      <w:bCs/>
      <w:i/>
      <w:iCs/>
      <w:color w:val="4F81BD"/>
    </w:rPr>
  </w:style>
  <w:style w:type="character" w:customStyle="1" w:styleId="141">
    <w:name w:val="标题 5 Char"/>
    <w:link w:val="8"/>
    <w:qFormat/>
    <w:uiPriority w:val="0"/>
    <w:rPr>
      <w:b/>
      <w:bCs/>
      <w:kern w:val="2"/>
      <w:sz w:val="28"/>
      <w:szCs w:val="28"/>
    </w:rPr>
  </w:style>
  <w:style w:type="character" w:customStyle="1" w:styleId="142">
    <w:name w:val="日期 Char1"/>
    <w:qFormat/>
    <w:uiPriority w:val="0"/>
    <w:rPr>
      <w:rFonts w:ascii="Calibri" w:hAnsi="Calibri" w:eastAsia="宋体" w:cs="Times New Roman"/>
    </w:rPr>
  </w:style>
  <w:style w:type="character" w:customStyle="1" w:styleId="143">
    <w:name w:val="批注框文本 Char1"/>
    <w:qFormat/>
    <w:uiPriority w:val="0"/>
    <w:rPr>
      <w:kern w:val="2"/>
      <w:sz w:val="18"/>
      <w:szCs w:val="18"/>
    </w:rPr>
  </w:style>
  <w:style w:type="character" w:customStyle="1" w:styleId="144">
    <w:name w:val="标题 Char1"/>
    <w:qFormat/>
    <w:uiPriority w:val="10"/>
    <w:rPr>
      <w:rFonts w:ascii="Cambria" w:hAnsi="Cambria" w:eastAsia="宋体" w:cs="Times New Roman"/>
      <w:b/>
      <w:bCs/>
      <w:sz w:val="32"/>
      <w:szCs w:val="32"/>
    </w:rPr>
  </w:style>
  <w:style w:type="character" w:customStyle="1" w:styleId="145">
    <w:name w:val="标题 9 Char"/>
    <w:link w:val="12"/>
    <w:qFormat/>
    <w:uiPriority w:val="0"/>
    <w:rPr>
      <w:rFonts w:ascii="Cambria" w:hAnsi="Cambria" w:eastAsia="宋体" w:cs="Times New Roman"/>
      <w:kern w:val="2"/>
      <w:sz w:val="21"/>
      <w:szCs w:val="21"/>
    </w:rPr>
  </w:style>
  <w:style w:type="character" w:customStyle="1" w:styleId="146">
    <w:name w:val="不明显参考1"/>
    <w:qFormat/>
    <w:uiPriority w:val="0"/>
    <w:rPr>
      <w:smallCaps/>
      <w:color w:val="C0504D"/>
      <w:u w:val="single"/>
    </w:rPr>
  </w:style>
  <w:style w:type="character" w:customStyle="1" w:styleId="147">
    <w:name w:val="批注文字 Char1"/>
    <w:qFormat/>
    <w:uiPriority w:val="0"/>
    <w:rPr>
      <w:rFonts w:ascii="Calibri" w:hAnsi="Calibri" w:eastAsia="宋体" w:cs="Times New Roman"/>
    </w:rPr>
  </w:style>
  <w:style w:type="character" w:customStyle="1" w:styleId="148">
    <w:name w:val="标题 Char2"/>
    <w:qFormat/>
    <w:uiPriority w:val="10"/>
    <w:rPr>
      <w:rFonts w:ascii="Cambria" w:hAnsi="Cambria" w:cs="Times New Roman"/>
      <w:b/>
      <w:bCs/>
      <w:kern w:val="2"/>
      <w:sz w:val="32"/>
      <w:szCs w:val="32"/>
    </w:rPr>
  </w:style>
  <w:style w:type="character" w:customStyle="1" w:styleId="149">
    <w:name w:val="正文文本 3 Char1"/>
    <w:semiHidden/>
    <w:qFormat/>
    <w:uiPriority w:val="99"/>
    <w:rPr>
      <w:kern w:val="2"/>
      <w:sz w:val="16"/>
      <w:szCs w:val="16"/>
    </w:rPr>
  </w:style>
  <w:style w:type="character" w:customStyle="1" w:styleId="150">
    <w:name w:val="批注主题 Char2"/>
    <w:qFormat/>
    <w:uiPriority w:val="0"/>
    <w:rPr>
      <w:b/>
      <w:bCs/>
      <w:kern w:val="2"/>
      <w:sz w:val="21"/>
    </w:rPr>
  </w:style>
  <w:style w:type="character" w:customStyle="1" w:styleId="151">
    <w:name w:val="标题 3 Char"/>
    <w:link w:val="6"/>
    <w:qFormat/>
    <w:uiPriority w:val="0"/>
    <w:rPr>
      <w:b/>
      <w:bCs/>
      <w:kern w:val="2"/>
      <w:sz w:val="32"/>
      <w:szCs w:val="32"/>
    </w:rPr>
  </w:style>
  <w:style w:type="character" w:customStyle="1" w:styleId="152">
    <w:name w:val="正文文本 Char_0"/>
    <w:link w:val="62"/>
    <w:qFormat/>
    <w:uiPriority w:val="0"/>
    <w:rPr>
      <w:szCs w:val="24"/>
    </w:rPr>
  </w:style>
  <w:style w:type="character" w:customStyle="1" w:styleId="153">
    <w:name w:val="副标题 Char"/>
    <w:link w:val="34"/>
    <w:qFormat/>
    <w:uiPriority w:val="0"/>
    <w:rPr>
      <w:rFonts w:ascii="Cambria" w:hAnsi="Cambria"/>
      <w:b/>
      <w:bCs/>
      <w:kern w:val="28"/>
      <w:sz w:val="32"/>
      <w:szCs w:val="32"/>
    </w:rPr>
  </w:style>
  <w:style w:type="character" w:customStyle="1" w:styleId="154">
    <w:name w:val="bookmark"/>
    <w:basedOn w:val="46"/>
    <w:qFormat/>
    <w:uiPriority w:val="0"/>
  </w:style>
  <w:style w:type="character" w:customStyle="1" w:styleId="155">
    <w:name w:val="标题 5 Char_0"/>
    <w:link w:val="63"/>
    <w:qFormat/>
    <w:uiPriority w:val="0"/>
    <w:rPr>
      <w:rFonts w:ascii="Calibri" w:hAnsi="Calibri"/>
      <w:b/>
      <w:bCs/>
      <w:sz w:val="28"/>
      <w:szCs w:val="28"/>
    </w:rPr>
  </w:style>
  <w:style w:type="character" w:customStyle="1" w:styleId="156">
    <w:name w:val="正文文本缩进 2 Char"/>
    <w:link w:val="28"/>
    <w:qFormat/>
    <w:uiPriority w:val="99"/>
    <w:rPr>
      <w:rFonts w:ascii="宋体"/>
    </w:rPr>
  </w:style>
  <w:style w:type="character" w:customStyle="1" w:styleId="157">
    <w:name w:val="批注文字 Char"/>
    <w:link w:val="18"/>
    <w:qFormat/>
    <w:uiPriority w:val="99"/>
    <w:rPr>
      <w:kern w:val="2"/>
      <w:sz w:val="21"/>
      <w:szCs w:val="24"/>
    </w:rPr>
  </w:style>
  <w:style w:type="character" w:customStyle="1" w:styleId="158">
    <w:name w:val="font11"/>
    <w:qFormat/>
    <w:uiPriority w:val="0"/>
    <w:rPr>
      <w:rFonts w:hint="eastAsia" w:ascii="宋体" w:hAnsi="宋体" w:eastAsia="宋体" w:cs="宋体"/>
      <w:color w:val="000000"/>
      <w:sz w:val="20"/>
      <w:szCs w:val="20"/>
      <w:u w:val="none"/>
    </w:rPr>
  </w:style>
  <w:style w:type="character" w:customStyle="1" w:styleId="159">
    <w:name w:val="明显参考1"/>
    <w:qFormat/>
    <w:uiPriority w:val="0"/>
    <w:rPr>
      <w:b/>
      <w:bCs/>
      <w:smallCaps/>
      <w:color w:val="C0504D"/>
      <w:spacing w:val="5"/>
      <w:u w:val="single"/>
    </w:rPr>
  </w:style>
  <w:style w:type="character" w:customStyle="1" w:styleId="160">
    <w:name w:val="超链接_0"/>
    <w:qFormat/>
    <w:uiPriority w:val="99"/>
    <w:rPr>
      <w:rFonts w:ascii="Calibri" w:hAnsi="Calibri"/>
      <w:color w:val="0000FF"/>
      <w:u w:val="single"/>
    </w:rPr>
  </w:style>
  <w:style w:type="character" w:customStyle="1" w:styleId="161">
    <w:name w:val="文档结构图 Char2"/>
    <w:semiHidden/>
    <w:qFormat/>
    <w:uiPriority w:val="99"/>
    <w:rPr>
      <w:rFonts w:ascii="宋体" w:hAnsi="Calibri" w:eastAsia="宋体" w:cs="Times New Roman"/>
      <w:sz w:val="18"/>
      <w:szCs w:val="18"/>
    </w:rPr>
  </w:style>
  <w:style w:type="character" w:customStyle="1" w:styleId="162">
    <w:name w:val="textcontents"/>
    <w:qFormat/>
    <w:uiPriority w:val="0"/>
    <w:rPr>
      <w:rFonts w:cs="Times New Roman"/>
    </w:rPr>
  </w:style>
  <w:style w:type="character" w:customStyle="1" w:styleId="163">
    <w:name w:val="标题 1 Char"/>
    <w:qFormat/>
    <w:uiPriority w:val="0"/>
    <w:rPr>
      <w:b/>
      <w:bCs/>
      <w:kern w:val="44"/>
      <w:sz w:val="32"/>
      <w:szCs w:val="44"/>
    </w:rPr>
  </w:style>
  <w:style w:type="character" w:customStyle="1" w:styleId="164">
    <w:name w:val="正文文本 Char"/>
    <w:link w:val="20"/>
    <w:qFormat/>
    <w:uiPriority w:val="0"/>
    <w:rPr>
      <w:rFonts w:eastAsia="幼圆"/>
      <w:b/>
      <w:bCs/>
      <w:kern w:val="2"/>
      <w:sz w:val="44"/>
      <w:szCs w:val="24"/>
    </w:rPr>
  </w:style>
  <w:style w:type="character" w:customStyle="1" w:styleId="165">
    <w:name w:val="标题 8 Char"/>
    <w:link w:val="11"/>
    <w:qFormat/>
    <w:uiPriority w:val="0"/>
    <w:rPr>
      <w:rFonts w:ascii="Cambria" w:hAnsi="Cambria" w:eastAsia="宋体" w:cs="Times New Roman"/>
      <w:kern w:val="2"/>
      <w:sz w:val="24"/>
      <w:szCs w:val="24"/>
    </w:rPr>
  </w:style>
  <w:style w:type="character" w:customStyle="1" w:styleId="166">
    <w:name w:val="副标题 Char1"/>
    <w:qFormat/>
    <w:uiPriority w:val="11"/>
    <w:rPr>
      <w:rFonts w:ascii="Cambria" w:hAnsi="Cambria" w:cs="Times New Roman"/>
      <w:b/>
      <w:bCs/>
      <w:kern w:val="28"/>
      <w:sz w:val="32"/>
      <w:szCs w:val="32"/>
    </w:rPr>
  </w:style>
  <w:style w:type="character" w:customStyle="1" w:styleId="167">
    <w:name w:val="批注主题 Char"/>
    <w:link w:val="43"/>
    <w:qFormat/>
    <w:uiPriority w:val="0"/>
    <w:rPr>
      <w:b/>
      <w:bCs/>
      <w:kern w:val="2"/>
      <w:sz w:val="21"/>
      <w:szCs w:val="24"/>
    </w:rPr>
  </w:style>
  <w:style w:type="character" w:customStyle="1" w:styleId="168">
    <w:name w:val="书籍标题1"/>
    <w:qFormat/>
    <w:uiPriority w:val="0"/>
    <w:rPr>
      <w:b/>
      <w:bCs/>
      <w:smallCaps/>
      <w:spacing w:val="5"/>
    </w:rPr>
  </w:style>
  <w:style w:type="character" w:customStyle="1" w:styleId="169">
    <w:name w:val="页脚 Char"/>
    <w:link w:val="30"/>
    <w:qFormat/>
    <w:uiPriority w:val="99"/>
    <w:rPr>
      <w:kern w:val="2"/>
      <w:sz w:val="18"/>
      <w:szCs w:val="18"/>
    </w:rPr>
  </w:style>
  <w:style w:type="character" w:customStyle="1" w:styleId="170">
    <w:name w:val="标题4 Char Char"/>
    <w:link w:val="64"/>
    <w:qFormat/>
    <w:uiPriority w:val="0"/>
    <w:rPr>
      <w:rFonts w:ascii="Arial" w:hAnsi="Arial"/>
      <w:b/>
      <w:bCs/>
      <w:sz w:val="24"/>
      <w:szCs w:val="32"/>
    </w:rPr>
  </w:style>
  <w:style w:type="character" w:customStyle="1" w:styleId="171">
    <w:name w:val="正文文本 Char1"/>
    <w:qFormat/>
    <w:uiPriority w:val="0"/>
    <w:rPr>
      <w:rFonts w:ascii="Calibri" w:hAnsi="Calibri" w:eastAsia="宋体" w:cs="Times New Roman"/>
    </w:rPr>
  </w:style>
  <w:style w:type="character" w:customStyle="1" w:styleId="172">
    <w:name w:val="明显引用 Char1"/>
    <w:qFormat/>
    <w:uiPriority w:val="30"/>
    <w:rPr>
      <w:b/>
      <w:bCs/>
      <w:i/>
      <w:iCs/>
      <w:color w:val="4F81BD"/>
      <w:kern w:val="2"/>
      <w:sz w:val="21"/>
    </w:rPr>
  </w:style>
  <w:style w:type="character" w:customStyle="1" w:styleId="173">
    <w:name w:val="页眉 Char1"/>
    <w:semiHidden/>
    <w:qFormat/>
    <w:uiPriority w:val="99"/>
    <w:rPr>
      <w:rFonts w:ascii="Calibri" w:hAnsi="Calibri" w:eastAsia="宋体" w:cs="Times New Roman"/>
      <w:sz w:val="18"/>
      <w:szCs w:val="18"/>
    </w:rPr>
  </w:style>
  <w:style w:type="character" w:customStyle="1" w:styleId="174">
    <w:name w:val="不明显强调1"/>
    <w:qFormat/>
    <w:uiPriority w:val="0"/>
    <w:rPr>
      <w:i/>
      <w:iCs/>
      <w:color w:val="808080"/>
    </w:rPr>
  </w:style>
  <w:style w:type="character" w:customStyle="1" w:styleId="175">
    <w:name w:val="正文文本 3 Char"/>
    <w:link w:val="19"/>
    <w:qFormat/>
    <w:uiPriority w:val="0"/>
    <w:rPr>
      <w:rFonts w:ascii="宋体"/>
      <w:kern w:val="2"/>
      <w:sz w:val="24"/>
    </w:rPr>
  </w:style>
  <w:style w:type="character" w:customStyle="1" w:styleId="176">
    <w:name w:val="正文文本缩进 3 Char"/>
    <w:link w:val="36"/>
    <w:qFormat/>
    <w:uiPriority w:val="0"/>
    <w:rPr>
      <w:kern w:val="2"/>
      <w:sz w:val="16"/>
    </w:rPr>
  </w:style>
  <w:style w:type="character" w:customStyle="1" w:styleId="177">
    <w:name w:val="font21"/>
    <w:qFormat/>
    <w:uiPriority w:val="0"/>
    <w:rPr>
      <w:rFonts w:hint="eastAsia" w:ascii="宋体" w:hAnsi="宋体" w:eastAsia="宋体" w:cs="宋体"/>
      <w:color w:val="000000"/>
      <w:sz w:val="20"/>
      <w:szCs w:val="20"/>
      <w:u w:val="none"/>
    </w:rPr>
  </w:style>
  <w:style w:type="character" w:customStyle="1" w:styleId="178">
    <w:name w:val="批注框文本 Char"/>
    <w:link w:val="29"/>
    <w:qFormat/>
    <w:uiPriority w:val="0"/>
    <w:rPr>
      <w:kern w:val="2"/>
      <w:sz w:val="18"/>
      <w:szCs w:val="18"/>
    </w:rPr>
  </w:style>
  <w:style w:type="character" w:customStyle="1" w:styleId="179">
    <w:name w:val="标题 7 Char"/>
    <w:link w:val="10"/>
    <w:qFormat/>
    <w:uiPriority w:val="0"/>
    <w:rPr>
      <w:b/>
      <w:bCs/>
      <w:kern w:val="2"/>
      <w:sz w:val="24"/>
      <w:szCs w:val="24"/>
    </w:rPr>
  </w:style>
  <w:style w:type="character" w:customStyle="1" w:styleId="180">
    <w:name w:val="标题 1 Char1"/>
    <w:link w:val="4"/>
    <w:qFormat/>
    <w:uiPriority w:val="0"/>
    <w:rPr>
      <w:rFonts w:ascii="Times New Roman" w:hAnsi="Times New Roman" w:eastAsia="宋体" w:cs="Times New Roman"/>
      <w:b/>
      <w:bCs/>
      <w:kern w:val="44"/>
      <w:sz w:val="32"/>
      <w:szCs w:val="44"/>
    </w:rPr>
  </w:style>
  <w:style w:type="character" w:customStyle="1" w:styleId="181">
    <w:name w:val="文档结构图 Char1"/>
    <w:qFormat/>
    <w:uiPriority w:val="0"/>
    <w:rPr>
      <w:rFonts w:ascii="宋体" w:hAnsi="Calibri" w:eastAsia="宋体" w:cs="Times New Roman"/>
      <w:sz w:val="18"/>
      <w:szCs w:val="18"/>
    </w:rPr>
  </w:style>
  <w:style w:type="character" w:customStyle="1" w:styleId="182">
    <w:name w:val="标题 2 Char_0"/>
    <w:link w:val="65"/>
    <w:qFormat/>
    <w:uiPriority w:val="0"/>
    <w:rPr>
      <w:rFonts w:ascii="Cambria" w:hAnsi="Cambria"/>
      <w:b/>
      <w:bCs/>
      <w:sz w:val="32"/>
      <w:szCs w:val="32"/>
    </w:rPr>
  </w:style>
  <w:style w:type="character" w:customStyle="1" w:styleId="183">
    <w:name w:val="日期 Char2"/>
    <w:semiHidden/>
    <w:qFormat/>
    <w:uiPriority w:val="99"/>
    <w:rPr>
      <w:rFonts w:ascii="Calibri" w:hAnsi="Calibri" w:eastAsia="宋体" w:cs="Times New Roman"/>
    </w:rPr>
  </w:style>
  <w:style w:type="character" w:customStyle="1" w:styleId="184">
    <w:name w:val="批注框文本 Char2"/>
    <w:semiHidden/>
    <w:qFormat/>
    <w:uiPriority w:val="99"/>
    <w:rPr>
      <w:rFonts w:ascii="Calibri" w:hAnsi="Calibri" w:eastAsia="宋体" w:cs="Times New Roman"/>
      <w:sz w:val="18"/>
      <w:szCs w:val="18"/>
    </w:rPr>
  </w:style>
  <w:style w:type="character" w:customStyle="1" w:styleId="185">
    <w:name w:val="标题 4 Char"/>
    <w:link w:val="7"/>
    <w:qFormat/>
    <w:uiPriority w:val="0"/>
    <w:rPr>
      <w:rFonts w:ascii="Cambria" w:hAnsi="Cambria" w:eastAsia="宋体" w:cs="Times New Roman"/>
      <w:b/>
      <w:bCs/>
      <w:kern w:val="2"/>
      <w:sz w:val="28"/>
      <w:szCs w:val="28"/>
    </w:rPr>
  </w:style>
  <w:style w:type="character" w:customStyle="1" w:styleId="186">
    <w:name w:val="列出段落 Char"/>
    <w:link w:val="66"/>
    <w:qFormat/>
    <w:locked/>
    <w:uiPriority w:val="99"/>
    <w:rPr>
      <w:kern w:val="2"/>
      <w:sz w:val="21"/>
      <w:szCs w:val="24"/>
    </w:rPr>
  </w:style>
  <w:style w:type="character" w:customStyle="1" w:styleId="187">
    <w:name w:val="表格文字 字符"/>
    <w:link w:val="83"/>
    <w:qFormat/>
    <w:uiPriority w:val="0"/>
    <w:rPr>
      <w:rFonts w:ascii="Calibri" w:hAnsi="Calibri" w:eastAsia="宋体" w:cs="Times New Roman"/>
      <w:sz w:val="21"/>
      <w:szCs w:val="22"/>
    </w:rPr>
  </w:style>
  <w:style w:type="paragraph" w:customStyle="1" w:styleId="18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正文首行缩进 Char"/>
    <w:basedOn w:val="164"/>
    <w:link w:val="44"/>
    <w:semiHidden/>
    <w:qFormat/>
    <w:uiPriority w:val="0"/>
    <w:rPr>
      <w:rFonts w:eastAsia="幼圆"/>
      <w:b w:val="0"/>
      <w:bCs w:val="0"/>
      <w:kern w:val="2"/>
      <w:sz w:val="21"/>
      <w:szCs w:val="24"/>
    </w:rPr>
  </w:style>
  <w:style w:type="character" w:customStyle="1" w:styleId="190">
    <w:name w:val="未处理的提及1"/>
    <w:basedOn w:val="46"/>
    <w:semiHidden/>
    <w:unhideWhenUsed/>
    <w:qFormat/>
    <w:uiPriority w:val="99"/>
    <w:rPr>
      <w:color w:val="605E5C"/>
      <w:shd w:val="clear" w:color="auto" w:fill="E1DFDD"/>
    </w:rPr>
  </w:style>
  <w:style w:type="paragraph" w:customStyle="1" w:styleId="191">
    <w:name w:val="TOC 标题2"/>
    <w:basedOn w:val="4"/>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styleId="192">
    <w:name w:val="List Paragraph"/>
    <w:basedOn w:val="1"/>
    <w:qFormat/>
    <w:uiPriority w:val="34"/>
    <w:pPr>
      <w:ind w:firstLine="420" w:firstLineChars="200"/>
    </w:pPr>
  </w:style>
  <w:style w:type="paragraph" w:customStyle="1" w:styleId="19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94">
    <w:name w:val="首行缩进"/>
    <w:basedOn w:val="1"/>
    <w:qFormat/>
    <w:uiPriority w:val="99"/>
    <w:pPr>
      <w:spacing w:line="360" w:lineRule="auto"/>
      <w:ind w:firstLine="480" w:firstLineChars="200"/>
      <w:jc w:val="left"/>
    </w:pPr>
    <w:rPr>
      <w:rFonts w:ascii="宋体" w:hAnsi="宋体"/>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theme/theme1.xml" Type="http://schemas.openxmlformats.org/officeDocument/2006/relationships/theme"/><Relationship Id="rId16" Target="media/image2.jpeg" Type="http://schemas.openxmlformats.org/officeDocument/2006/relationships/image"/><Relationship Id="rId17" Target="media/image3.png"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customXml/item2.xml" Type="http://schemas.openxmlformats.org/officeDocument/2006/relationships/customXml"/><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_rels/header2.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C760A-CA35-46D3-AE0F-854EB3E7957A}">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105</Pages>
  <Words>51280</Words>
  <Characters>56335</Characters>
  <Lines>438</Lines>
  <Paragraphs>123</Paragraphs>
  <TotalTime>2</TotalTime>
  <ScaleCrop>false</ScaleCrop>
  <LinksUpToDate>false</LinksUpToDate>
  <CharactersWithSpaces>58292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2021-03-26T03:19:00Z</dcterms:created>
  <dc:creator>Lenovo User</dc:creator>
  <cp:lastModifiedBy>江苏国采</cp:lastModifiedBy>
  <cp:lastPrinted>2023-05-04T07:53:00Z</cp:lastPrinted>
  <dcterms:modified xsi:type="dcterms:W3CDTF">2023-06-15T02:33:46Z</dcterms:modified>
  <cp:revision>122</cp:revision>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828F7342AA3E47D69342FFEBE1C9557B_13</vt:lpwstr>
  </property>
</Properties>
</file>